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drawing>
          <wp:inline distT="0" distB="0" distL="114300" distR="114300">
            <wp:extent cx="4457700" cy="100012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480" w:lineRule="auto"/>
        <w:ind w:left="0" w:right="0"/>
        <w:jc w:val="center"/>
        <w:rPr>
          <w:rFonts w:hint="default" w:ascii="黑体" w:hAnsi="宋体" w:eastAsia="黑体" w:cs="黑体"/>
          <w:bCs/>
          <w:kern w:val="2"/>
          <w:sz w:val="52"/>
          <w:szCs w:val="52"/>
          <w:lang w:val="en-US" w:eastAsia="zh-CN" w:bidi="ar"/>
        </w:rPr>
      </w:pPr>
      <w:r>
        <w:rPr>
          <w:rFonts w:hint="eastAsia" w:ascii="黑体" w:hAnsi="宋体" w:eastAsia="黑体" w:cs="黑体"/>
          <w:bCs/>
          <w:kern w:val="2"/>
          <w:sz w:val="52"/>
          <w:szCs w:val="52"/>
          <w:lang w:val="en-US" w:eastAsia="zh-CN" w:bidi="ar"/>
        </w:rPr>
        <w:t>药</w:t>
      </w:r>
      <w:r>
        <w:rPr>
          <w:rFonts w:hint="default" w:ascii="黑体" w:hAnsi="宋体" w:eastAsia="黑体" w:cs="黑体"/>
          <w:bCs/>
          <w:kern w:val="2"/>
          <w:sz w:val="52"/>
          <w:szCs w:val="52"/>
          <w:lang w:val="en-US" w:eastAsia="zh-CN" w:bidi="ar"/>
        </w:rPr>
        <w:t>学院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480" w:lineRule="auto"/>
        <w:ind w:left="0" w:right="0"/>
        <w:jc w:val="center"/>
        <w:rPr>
          <w:rFonts w:hint="default" w:ascii="黑体" w:hAnsi="宋体" w:eastAsia="黑体" w:cs="黑体"/>
          <w:bCs/>
          <w:kern w:val="2"/>
          <w:sz w:val="52"/>
          <w:szCs w:val="52"/>
        </w:rPr>
      </w:pPr>
      <w:r>
        <w:rPr>
          <w:rFonts w:hint="default" w:ascii="黑体" w:hAnsi="宋体" w:eastAsia="黑体" w:cs="黑体"/>
          <w:bCs/>
          <w:kern w:val="2"/>
          <w:sz w:val="52"/>
          <w:szCs w:val="52"/>
          <w:lang w:val="en-US" w:eastAsia="zh-CN" w:bidi="ar"/>
        </w:rPr>
        <w:t>2026年实验室建设方案</w:t>
      </w:r>
    </w:p>
    <w:p>
      <w:pPr>
        <w:pStyle w:val="2"/>
        <w:widowControl/>
        <w:rPr>
          <w:rFonts w:hint="default" w:ascii="Calibri" w:hAnsi="Calibri" w:eastAsia="黑体" w:cs="Times New Roman"/>
          <w:kern w:val="2"/>
          <w:sz w:val="18"/>
          <w:szCs w:val="18"/>
        </w:rPr>
      </w:pPr>
      <w:r>
        <w:rPr>
          <w:rFonts w:hint="default" w:ascii="Calibri" w:hAnsi="Calibri" w:eastAsia="黑体" w:cs="Times New Roman"/>
          <w:kern w:val="2"/>
          <w:sz w:val="18"/>
          <w:szCs w:val="18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Calibri" w:hAnsi="Calibri" w:eastAsia="宋体" w:cs="Times New Roman"/>
          <w:b/>
          <w:bCs w:val="0"/>
          <w:kern w:val="2"/>
          <w:sz w:val="72"/>
          <w:szCs w:val="72"/>
        </w:rPr>
      </w:pPr>
      <w:r>
        <w:rPr>
          <w:rFonts w:hint="eastAsia" w:ascii="Calibri" w:hAnsi="Calibri" w:eastAsia="宋体" w:cs="Times New Roman"/>
          <w:b/>
          <w:bCs w:val="0"/>
          <w:kern w:val="2"/>
          <w:sz w:val="72"/>
          <w:szCs w:val="7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Calibri" w:hAnsi="Calibri" w:eastAsia="宋体" w:cs="Times New Roman"/>
          <w:b/>
          <w:bCs w:val="0"/>
          <w:kern w:val="2"/>
          <w:sz w:val="72"/>
          <w:szCs w:val="72"/>
        </w:rPr>
      </w:pPr>
      <w:r>
        <w:rPr>
          <w:rFonts w:hint="eastAsia" w:ascii="Calibri" w:hAnsi="Calibri" w:eastAsia="宋体" w:cs="Times New Roman"/>
          <w:b/>
          <w:bCs w:val="0"/>
          <w:kern w:val="2"/>
          <w:sz w:val="72"/>
          <w:szCs w:val="7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Calibri" w:hAnsi="Calibri" w:eastAsia="宋体" w:cs="Times New Roman"/>
          <w:b/>
          <w:bCs w:val="0"/>
          <w:kern w:val="2"/>
          <w:sz w:val="72"/>
          <w:szCs w:val="72"/>
        </w:rPr>
      </w:pPr>
      <w:r>
        <w:rPr>
          <w:rFonts w:hint="eastAsia" w:ascii="Calibri" w:hAnsi="Calibri" w:eastAsia="宋体" w:cs="Times New Roman"/>
          <w:b/>
          <w:bCs w:val="0"/>
          <w:kern w:val="2"/>
          <w:sz w:val="72"/>
          <w:szCs w:val="7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Calibri" w:hAnsi="Calibri" w:eastAsia="宋体" w:cs="Times New Roman"/>
          <w:b/>
          <w:bCs w:val="0"/>
          <w:kern w:val="2"/>
          <w:sz w:val="72"/>
          <w:szCs w:val="72"/>
        </w:rPr>
      </w:pPr>
      <w:r>
        <w:rPr>
          <w:rFonts w:hint="eastAsia" w:ascii="Calibri" w:hAnsi="Calibri" w:eastAsia="宋体" w:cs="Times New Roman"/>
          <w:b/>
          <w:bCs w:val="0"/>
          <w:kern w:val="2"/>
          <w:sz w:val="72"/>
          <w:szCs w:val="7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b/>
          <w:bCs w:val="0"/>
          <w:kern w:val="2"/>
          <w:sz w:val="44"/>
          <w:szCs w:val="4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b/>
          <w:bCs w:val="0"/>
          <w:kern w:val="2"/>
          <w:sz w:val="44"/>
          <w:szCs w:val="4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b/>
          <w:bCs w:val="0"/>
          <w:kern w:val="2"/>
          <w:sz w:val="44"/>
          <w:szCs w:val="44"/>
        </w:rPr>
      </w:pPr>
      <w:r>
        <w:rPr>
          <w:rFonts w:hint="eastAsia" w:ascii="宋体" w:hAnsi="宋体" w:eastAsia="宋体" w:cs="宋体"/>
          <w:b/>
          <w:bCs w:val="0"/>
          <w:kern w:val="2"/>
          <w:sz w:val="44"/>
          <w:szCs w:val="44"/>
          <w:lang w:val="en-US" w:eastAsia="zh-CN" w:bidi="ar"/>
        </w:rPr>
        <w:t>2026年03月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一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指导思想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以立德树人为根本，以培养高素质应用型药学人才为目标，坚持“夯实基础、强化技能、产教融合、注重创新”的建设理念。紧密围绕药学、中药学及中药制药等专业的人才培养方案，依托现有硬件基础，进一步优化资源配置。通过加强实验教学信息化建设、深化虚实结合的教学模式、提升师资队伍的实践指导能力，将实验实训中心打造成为集教学、科研、社会服务于一体的综合性、开放式药学实践教学基地，为学校高质量发展和区域医药产业输送具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一定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实践能力和创新精神的高素质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技能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人才。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药学实验室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现状分析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药学院实验实训中心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建立于2021年12月，发展至今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已具备良好的基础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条件，仍需进一步发展和提升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。一是硬件设施初具规模。中心建筑面积达2430平方米，拥有15个专业实验室及中药标本馆、制药实训车间，构建了从中药鉴定、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中药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炮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制、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中药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提取分离到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中药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制剂制备、质量分析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等较为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完整药学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中药学、中药制药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实践链条。仪器设备总值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**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余万元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二是教学体系基本成型。中心承担了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中药鉴定学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》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《中药药剂学》《药物分析》等10余门核心课程的实验实训任务，能够开展综合性、设计性实验项目，为专业实践教学提供了可靠保障。三是对照高水平应用型大学建设标准，仍存在提升空间：部分仪器设备的台套数需进一步增加以应对生均使用需求；虚拟仿真等信息化教学资源尚显不足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三、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建设目的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（一）、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深化实践教学改革，提升人才培养质量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围绕“新医科”“新工科”建设要求，优化实验课程体系。增设综合性、创新性实验项目比例，强化学生解决复杂问题的能力。引入虚拟仿真实验项目，作为实体实验的有力补充，突破高危、高成本实验的时空限制。确保实验开出率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达到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100%，并逐步提高综合性、设计性实验的占比。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（二）、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强化科研反哺教学，提升社会服务能力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在满足教学需求的前提下，向校内师生及周边医药企业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加强合作与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开放，支持教师科研项目及学生第二课堂（如“大创项目”、学科竞赛）的开展。同时，利用中药标本馆和实训车间，建设区域性的医药科普教育基地，提升中心服务社会的能力。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四、</w:t>
      </w:r>
      <w:r>
        <w:rPr>
          <w:rFonts w:hint="eastAsia" w:ascii="仿宋" w:hAnsi="仿宋" w:eastAsia="仿宋" w:cs="仿宋"/>
          <w:bCs/>
          <w:sz w:val="28"/>
          <w:szCs w:val="28"/>
        </w:rPr>
        <w:t>建设内容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 w:cs="仿宋"/>
          <w:bCs/>
          <w:color w:val="auto"/>
          <w:kern w:val="0"/>
          <w:sz w:val="28"/>
          <w:szCs w:val="28"/>
          <w:lang w:val="en-US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（一）建设项目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Cs/>
          <w:color w:val="auto"/>
          <w:sz w:val="28"/>
          <w:szCs w:val="28"/>
        </w:rPr>
        <w:t>为提高教师的教学创新能力和科研能力，培养高素质的综合型应用型人才，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lang w:val="en-US" w:eastAsia="zh-CN"/>
        </w:rPr>
        <w:t>药学院</w:t>
      </w:r>
      <w:r>
        <w:rPr>
          <w:rFonts w:hint="eastAsia" w:ascii="仿宋" w:hAnsi="仿宋" w:eastAsia="仿宋" w:cs="仿宋"/>
          <w:bCs/>
          <w:color w:val="auto"/>
          <w:sz w:val="28"/>
          <w:szCs w:val="28"/>
        </w:rPr>
        <w:t>实验实训中心202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  <w:sz w:val="28"/>
          <w:szCs w:val="28"/>
        </w:rPr>
        <w:t>年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中药传统技能操作虚拟仿真实训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Hans"/>
        </w:rPr>
        <w:t>室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lang w:val="en-US" w:eastAsia="zh-CN"/>
        </w:rPr>
        <w:t>A类急需建设）、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化学品仓库（A类急需建设）、升级改造中药制药仿GMP实验实训车间（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lang w:val="en-US" w:eastAsia="zh-CN"/>
        </w:rPr>
        <w:t>A类急需建设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）、药理学软件（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lang w:val="en-US" w:eastAsia="zh-CN"/>
        </w:rPr>
        <w:t>A类急需建设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）及其他现有完善提升实训室（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lang w:val="en-US" w:eastAsia="zh-CN"/>
        </w:rPr>
        <w:t>A类急需建设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Cs/>
          <w:sz w:val="28"/>
          <w:szCs w:val="28"/>
        </w:rPr>
        <w:t>新增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化工原理</w:t>
      </w:r>
      <w:r>
        <w:rPr>
          <w:rFonts w:hint="eastAsia" w:ascii="仿宋" w:hAnsi="仿宋" w:eastAsia="仿宋" w:cs="仿宋"/>
          <w:bCs/>
          <w:sz w:val="28"/>
          <w:szCs w:val="28"/>
        </w:rPr>
        <w:t>实验课程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化工原理实验室（B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lang w:val="en-US" w:eastAsia="zh-CN"/>
        </w:rPr>
        <w:t>类急需建设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）。</w:t>
      </w:r>
    </w:p>
    <w:p>
      <w:pPr>
        <w:pStyle w:val="2"/>
        <w:rPr>
          <w:rFonts w:hint="eastAsia"/>
          <w:sz w:val="28"/>
          <w:szCs w:val="28"/>
        </w:rPr>
      </w:pPr>
    </w:p>
    <w:p>
      <w:pPr>
        <w:pStyle w:val="4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药学院2026年药学实验室建设方案预算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根据学院实验室建设整体计划，药学院根据实验实训教学需求拟建设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中药传统技能操作虚拟仿真实训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Hans"/>
        </w:rPr>
        <w:t>室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，升级改造中药制药仿GMP实验实训车间、化学品仓库、化工原理实验室、药理学软件（及其他现有完善提升实训室。</w:t>
      </w:r>
    </w:p>
    <w:p>
      <w:pPr>
        <w:pStyle w:val="3"/>
        <w:rPr>
          <w:rFonts w:hint="eastAsia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rPr>
          <w:rFonts w:hint="default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1、中药传统技操作虚拟仿真实训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Hans"/>
        </w:rPr>
        <w:t>室建设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 xml:space="preserve">    A类急需建设。</w:t>
      </w:r>
    </w:p>
    <w:p>
      <w:pPr>
        <w:adjustRightInd w:val="0"/>
        <w:snapToGrid w:val="0"/>
        <w:spacing w:line="560" w:lineRule="exact"/>
        <w:ind w:firstLine="7350" w:firstLineChars="3500"/>
        <w:jc w:val="both"/>
        <w:rPr>
          <w:rFonts w:hint="eastAsia" w:ascii="方正仿宋_GB2312" w:hAnsi="方正仿宋_GB2312" w:eastAsia="方正仿宋_GB2312" w:cs="方正仿宋_GB2312"/>
          <w:color w:val="000000"/>
          <w:sz w:val="21"/>
          <w:szCs w:val="21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1"/>
          <w:szCs w:val="21"/>
        </w:rPr>
        <w:t>单位：万元</w:t>
      </w:r>
    </w:p>
    <w:tbl>
      <w:tblPr>
        <w:tblStyle w:val="8"/>
        <w:tblW w:w="4905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6"/>
        <w:gridCol w:w="4308"/>
        <w:gridCol w:w="682"/>
        <w:gridCol w:w="750"/>
        <w:gridCol w:w="736"/>
        <w:gridCol w:w="77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设备名称</w:t>
            </w:r>
          </w:p>
        </w:tc>
        <w:tc>
          <w:tcPr>
            <w:tcW w:w="25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080" w:firstLineChars="6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详细参数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单位</w:t>
            </w:r>
          </w:p>
        </w:tc>
        <w:tc>
          <w:tcPr>
            <w:tcW w:w="4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单价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数量</w:t>
            </w:r>
          </w:p>
        </w:tc>
        <w:tc>
          <w:tcPr>
            <w:tcW w:w="4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金额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9" w:hRule="atLeast"/>
          <w:jc w:val="center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  <w:t>中药传统技能中药识别实训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软件</w:t>
            </w:r>
          </w:p>
        </w:tc>
        <w:tc>
          <w:tcPr>
            <w:tcW w:w="25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功能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（1） 可在线编辑（新增、修改、删除）系统内的数据（图片、模型、视频、文字内容、试卷、文档文件、用户权限、功能权限）。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（2） 支持批量导入试卷试题（word格式）、自动组卷、手工组卷，在线刷题；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(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3） 精细的权限控制，可控制到页面按钮；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（4） 实时查看服务监控、数据监控、缓存监控；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（5） 资源加密处理，保证数据安全；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PC端：包含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中药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性状鉴别、考核测评、我的学习、资源中心功能模块。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需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包含中药识别、真伪鉴别、模型自测三部分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 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  <w:t>中药传统技能显微鉴别实训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7软件</w:t>
            </w:r>
          </w:p>
        </w:tc>
        <w:tc>
          <w:tcPr>
            <w:tcW w:w="25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中药显微鉴别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需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包含显微鉴别、显微操作、显微绘图、虚拟仿真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功能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，包含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不低于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35种药材显微资源，可按名称检索，药材显微包含显微鉴别方法、横切图片、粉末特征细胞图、墨线图、粉末特征描述，学生笔记记录，浏览量；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显微操作：展示显微操作视频流程列表，可按名称检索，视频流程可根据后台设置的互动试题进行自测学习；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显微绘图：提供学生线下实操记录上传功能，学生线下的显微实操模拟墨线图数据可以通过图片上传，或者通过手写板自动上传系统，老师可查看点评学生的实操记录；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虚拟仿真：展示显微虚拟仿真，可点击虚拟仿真进行学习测试；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highlight w:val="none"/>
                <w:lang w:eastAsia="zh-Hans"/>
              </w:rPr>
              <w:t xml:space="preserve"> 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 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7" w:hRule="atLeast"/>
          <w:jc w:val="center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  <w:t>中药传统技能中药调剂实训平台</w:t>
            </w:r>
          </w:p>
        </w:tc>
        <w:tc>
          <w:tcPr>
            <w:tcW w:w="25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（1） 可在线编辑（新增、修改、删除）系统内的数据（图片、模型、视频、文字内容、试卷、文档文件、用户权限、功能权限。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（2） 支持手机扫二维码查看药材信息。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（3） 支持批量导入试卷试题（word格式）、自动组卷、手工组卷，学生在线刷题；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实时查看服务监控、数据监控、缓存监控；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4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） 多端联动，电脑的学习进度在手机上同步更新。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模块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需要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包含调剂操作、审方、虚拟仿真；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审方：处方详情展示历年的处方笺及对应的试题信息，学生可以进行自测学习，可按名称、处方类型进行检索；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调剂虚拟仿真，可点击虚拟仿真进行学习测试；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2" w:hRule="atLeast"/>
          <w:jc w:val="center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  <w:t>中药传统技能中药炮制实训平台</w:t>
            </w:r>
          </w:p>
        </w:tc>
        <w:tc>
          <w:tcPr>
            <w:tcW w:w="25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学生端需要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包含炮制理论、炮制流程、考核测评、我的学习功能模块。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管理端中药炮制管理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eastAsia="zh-CN"/>
              </w:rPr>
              <w:t>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试题库管理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eastAsia="zh-CN"/>
              </w:rPr>
              <w:t>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炮制理论管理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虚拟仿真管理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eastAsia="zh-CN"/>
              </w:rPr>
              <w:t>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考核测评管理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eastAsia="zh-CN"/>
              </w:rPr>
              <w:t>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考核测评管理包含试卷管理、试卷模板管理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eastAsia="zh-CN"/>
              </w:rPr>
              <w:t>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数据统计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eastAsia="zh-CN"/>
              </w:rPr>
              <w:t>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学生错题统计管理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eastAsia="zh-CN"/>
              </w:rPr>
              <w:t>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系统管理等功能,方便老师管理作业任务;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  <w:t>中药传统技能制剂分析实训平台</w:t>
            </w:r>
          </w:p>
        </w:tc>
        <w:tc>
          <w:tcPr>
            <w:tcW w:w="25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学生端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需要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包含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:制剂分析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、竞赛考核、我的学习、资源中心功能模块。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需要支持手机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移动端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可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展示中药制剂分析视频列表，可按名称检索，视频流程可根据后台设置的互动信息、试题信息进行自测学习，加强学生操作流程记忆；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竞赛考核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需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包含竞赛试卷、考试成绩模块；竞赛试卷展示后台绑定的试卷信息，可按试卷名称进行检索、线上测试及查看详情信息；考试成绩展示学生考试的成绩信息，展示试卷名称、满分、成绩、最高分、平均分、排名、用时及考试日期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我的学习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需包含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学习视频流程的学习概况，学习进度；自测练习功能，系统随机生成该类型试题，学生进行自测训练；可查看详情信息及错题练习；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管理端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需要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  <w:t>包含制剂分析流程管理，可对制剂分析流程进行新增、编辑、删除操作，可上传制剂分析流程视频，针对视频设置互动节点，节点支持试题互动、图文互动内容；可添加制剂分析流程操作步骤，注意事项；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 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2" w:hRule="atLeast"/>
          <w:jc w:val="center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教师桌椅</w:t>
            </w:r>
          </w:p>
        </w:tc>
        <w:tc>
          <w:tcPr>
            <w:tcW w:w="25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left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1、规格:1200*600*750mm(长宽高)</w:t>
            </w:r>
          </w:p>
          <w:p>
            <w:pPr>
              <w:pStyle w:val="6"/>
              <w:ind w:left="0" w:leftChars="0" w:firstLine="0" w:firstLineChars="0"/>
              <w:jc w:val="left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2、25mm加厚面板、E1级环保材质、PU静音万向滑轮、隐私屏风、可移动活动柜,带锁具、高密度板,承重性强                        3、带靠背椅1把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。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 1</w:t>
            </w:r>
          </w:p>
        </w:tc>
        <w:tc>
          <w:tcPr>
            <w:tcW w:w="4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实训平台配套实操电脑</w:t>
            </w:r>
          </w:p>
        </w:tc>
        <w:tc>
          <w:tcPr>
            <w:tcW w:w="25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left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戴尔电脑戴尔OptiPlex 7000塔式机，- 出厂基础配置：16 GB。内存类型：DDR5，支持3600 MT/s、4000 MT/s或4400 MT/s频率。</w:t>
            </w:r>
          </w:p>
          <w:p>
            <w:pPr>
              <w:jc w:val="left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存储（硬盘/SSD）配置：出厂基础配置：512 GB等容量。</w:t>
            </w:r>
          </w:p>
          <w:p>
            <w:pPr>
              <w:jc w:val="left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4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可组合桌椅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(含凳)</w:t>
            </w:r>
          </w:p>
        </w:tc>
        <w:tc>
          <w:tcPr>
            <w:tcW w:w="25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6"/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规格:直径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 xml:space="preserve">0cm                  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桌子布局:三角形单桌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>6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组合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。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 xml:space="preserve">        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桌面材质:E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组环保颗粒板,绿白或蓝白颜色双拼色封边,支架采用钢铁钢琴烤漆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>5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公分圆管支撑壁厚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.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>2mm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全框架结构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 xml:space="preserve">。     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      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每桌配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>6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把方凳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。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  <w:t xml:space="preserve"> 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 7</w:t>
            </w:r>
          </w:p>
        </w:tc>
        <w:tc>
          <w:tcPr>
            <w:tcW w:w="4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Hans"/>
              </w:rPr>
            </w:pPr>
          </w:p>
        </w:tc>
        <w:tc>
          <w:tcPr>
            <w:tcW w:w="25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合计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eastAsia="zh-Hans"/>
              </w:rPr>
            </w:pP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</w:p>
        </w:tc>
        <w:tc>
          <w:tcPr>
            <w:tcW w:w="4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</w:tbl>
    <w:p>
      <w:pPr>
        <w:pStyle w:val="3"/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中药制药仿GMP实验实训车间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Hans"/>
        </w:rPr>
        <w:t>建设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 xml:space="preserve">    A类急需建设。</w:t>
      </w:r>
    </w:p>
    <w:p>
      <w:pPr>
        <w:numPr>
          <w:ilvl w:val="0"/>
          <w:numId w:val="0"/>
        </w:numPr>
        <w:jc w:val="right"/>
        <w:rPr>
          <w:rFonts w:hint="eastAsia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1"/>
          <w:szCs w:val="21"/>
        </w:rPr>
        <w:t>单位：万元</w:t>
      </w:r>
    </w:p>
    <w:tbl>
      <w:tblPr>
        <w:tblStyle w:val="8"/>
        <w:tblW w:w="4905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6"/>
        <w:gridCol w:w="3798"/>
        <w:gridCol w:w="614"/>
        <w:gridCol w:w="911"/>
        <w:gridCol w:w="709"/>
        <w:gridCol w:w="9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设备名称</w:t>
            </w: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080" w:firstLineChars="6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详细参数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单位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单价</w:t>
            </w: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数量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金额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3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1.内外袋中药袋包茶包装机</w:t>
            </w:r>
          </w:p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【仪器技术参数】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生产能力：30-40包/min剂量范围：1-7g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制袋尺寸：长40-80mm，宽60-80mm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电压功率：220V/2200W=气源：0.8mpa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机器重量：650kg机器尺寸：115*95*210cm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【仪器功能与应用】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定量分装、自动称重一机多用:中药、花茶、药茶</w:t>
            </w: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等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创新创意大赛学生作品制作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2.</w:t>
            </w: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干压制粒机</w:t>
            </w:r>
          </w:p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【仪器技术参数】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型号：GZL-100压片厚度：14mm颗粒范围：可调。成品率65%-75%。总功率：15kw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机器重量：2000kg机器设备：210*150*180cm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【仪器功能与应用】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干压制粒机无需添加任何粘合剂或液体，直接将粉状物料压制成颗粒。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3.贝利超微粉碎机</w:t>
            </w:r>
          </w:p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【仪器技术参数】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型号：WZJ-6B功率：1.1kw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产能：0.5KG-5KG机器重量：580kg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机器尺寸：103*7*144cm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【仪器功能与应用】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用于动植物、矿物中药材的单味或复方粉碎，特别适用于强纤维性、韧性物料，单做或含量超过15%的高糖、粘性物料需有制冷系统。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4.铝塑泡罩包装机胶囊模具</w:t>
            </w:r>
          </w:p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0号胶囊模具一组、0号胶囊冲裁模一组、0号胶囊仪器安装、无油空压机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5.压片机配套除尘装置</w:t>
            </w: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旋转式压片机型号ZPW23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合计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</w:tbl>
    <w:p>
      <w:pPr>
        <w:pStyle w:val="3"/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rPr>
          <w:rFonts w:hint="default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化学品仓库建设    A类急需建设。</w:t>
      </w:r>
    </w:p>
    <w:tbl>
      <w:tblPr>
        <w:tblStyle w:val="8"/>
        <w:tblW w:w="624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485"/>
        <w:gridCol w:w="1392"/>
        <w:gridCol w:w="723"/>
        <w:gridCol w:w="613"/>
        <w:gridCol w:w="117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耐酸地面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乙烯基防腐地面（灰、绿）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1"/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 w:bidi="ar"/>
              </w:rPr>
              <w:t>m</w:t>
            </w:r>
            <w:r>
              <w:rPr>
                <w:rStyle w:val="12"/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 w:bidi="ar"/>
              </w:rPr>
              <w:t>²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防渗膜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2布1膜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1"/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 w:bidi="ar"/>
              </w:rPr>
              <w:t>m</w:t>
            </w:r>
            <w:r>
              <w:rPr>
                <w:rStyle w:val="12"/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 w:bidi="ar"/>
              </w:rPr>
              <w:t>²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防火门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双锁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樘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防盗窗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1"/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 w:bidi="ar"/>
              </w:rPr>
              <w:t>m</w:t>
            </w:r>
            <w:r>
              <w:rPr>
                <w:rStyle w:val="12"/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 w:bidi="ar"/>
              </w:rPr>
              <w:t>²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防爆灯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60W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盏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防爆开关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双联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防爆风机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1000m3/h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废气处理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1000m3/h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排风管道管件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房间吊顶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防爆插座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防爆线管、防爆接线盒施工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国标镀锌防爆线管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防泄漏槽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800*1000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洗眼器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移动式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台秤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标牌及规则制度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防爆空调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3P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电线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各规格4平方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化学品试剂柜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45加仑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双锁，手动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化学品试剂柜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30加仑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bidi w:val="0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4、其他改善提升实验室建设    A类急需建设。</w:t>
      </w:r>
    </w:p>
    <w:p>
      <w:pPr>
        <w:numPr>
          <w:ilvl w:val="0"/>
          <w:numId w:val="0"/>
        </w:numPr>
        <w:jc w:val="right"/>
        <w:rPr>
          <w:rFonts w:hint="eastAsia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21"/>
          <w:szCs w:val="21"/>
        </w:rPr>
        <w:t>单位：万元</w:t>
      </w:r>
    </w:p>
    <w:tbl>
      <w:tblPr>
        <w:tblStyle w:val="8"/>
        <w:tblW w:w="4905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6"/>
        <w:gridCol w:w="3798"/>
        <w:gridCol w:w="614"/>
        <w:gridCol w:w="911"/>
        <w:gridCol w:w="709"/>
        <w:gridCol w:w="9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  <w:t>1.奥林巴斯显微镜不含电脑</w:t>
            </w: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right="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BX53+2000万像素相机+简易偏光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  <w:t>2.奥林巴斯显微镜不含电脑</w:t>
            </w: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right="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CX43+630万像素相机（简易偏光）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  <w:t>3.体视显微镜</w:t>
            </w: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right="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【基本信息】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right="0" w:rightChars="0"/>
              <w:jc w:val="left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型号：SZMN7045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品牌：宁波舜宇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right="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【仪器技术参数】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right="0" w:rightChars="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变倍比0.7-45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，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  <w:t>4.体视显微镜</w:t>
            </w: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right="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【基本信息】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right="0" w:rightChars="0"/>
              <w:jc w:val="left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型号：SZMN7045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品牌：宁波舜宇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right="0"/>
              <w:jc w:val="left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【仪器技术参数】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具备</w:t>
            </w: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带图像采集系统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合计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</w:tbl>
    <w:p>
      <w:pPr>
        <w:bidi w:val="0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jc w:val="left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5、401中药制药仿真模拟实验室增项（50.0万）A类急需建设。</w:t>
      </w:r>
    </w:p>
    <w:tbl>
      <w:tblPr>
        <w:tblStyle w:val="8"/>
        <w:tblW w:w="835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5193"/>
        <w:gridCol w:w="1105"/>
        <w:gridCol w:w="145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产品码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氯丙嗪对发热小鼠体温的影响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6122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不同给药途径对药物作用的影响虚拟仿真实验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7888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实验动物操作技能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7904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家兔急性肾功能衰竭模型构建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6782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心衰动物模型的复制及强心苷对心力衰竭的影响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6778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5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药物的镇痛作用观察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6770</w:t>
            </w:r>
          </w:p>
        </w:tc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家兔有机磷酸酯类中毒及解救联合胆碱酯酶活性测定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6738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bidi w:val="0"/>
        <w:rPr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6、化工原理实验室    B类急需建设。</w:t>
      </w:r>
    </w:p>
    <w:p>
      <w:pPr>
        <w:bidi w:val="0"/>
        <w:rPr>
          <w:lang w:val="en-US" w:eastAsia="zh-CN"/>
        </w:rPr>
      </w:pPr>
    </w:p>
    <w:tbl>
      <w:tblPr>
        <w:tblStyle w:val="8"/>
        <w:tblW w:w="4905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6"/>
        <w:gridCol w:w="3798"/>
        <w:gridCol w:w="614"/>
        <w:gridCol w:w="911"/>
        <w:gridCol w:w="709"/>
        <w:gridCol w:w="9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设备名称</w:t>
            </w: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080" w:firstLineChars="6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  <w:t>详细参数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单位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单价</w:t>
            </w: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数量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  <w:t>金额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8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雷诺演示实验</w:t>
            </w:r>
          </w:p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【仪器技术参数】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1.运行环境：常温常压。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2.运行体系：水。3.型号：WY502-MDH026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3.装置外形尺寸：1900x550x1920mm.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【仪器功能与应用】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1.了解对流体流动时的流线进行演示的实验方法。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2.观察流体在管内流动时的不同流动形态，即层流，过渡区和湍流。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3.测定临界雷诺数。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4.了解恒定液位的方法。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5.了解转子流量计的使用和流量调节方法。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数值型离心泵特性曲线的测定实验台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【仪器技术参数】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1.液体流量：0.2~5.2m3/h;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2.离心泵出口压力：0-0.2Mpa；扬程(H):0-20m，轴功率(N):0.43-0.85KW，效率(n):0-60%，转速：0-2900r/min;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3.液体温度：常温。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ab/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顶部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【仪器功能与应用】：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1.使学生充分了解离心泵的结构与特性，熟悉离心泵的工作方式和操作流程；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2.熟悉组成管路的各种管件，阀门，了解温度，压力，电功率，流量等就地显示仪表及传感检测设备，掌握涡轮流量计的测量原理及使用方法；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Hans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氨氮吹脱实验装置</w:t>
            </w:r>
          </w:p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【仪器技术参数】：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1.常温常压下运行；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2.环境温度：0C~40C;3.电源：单相交流220V+10%,50HZ；装置容量400W.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4.设备外形总尺寸：1600mm500mmx1300mm.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【仪器功能与应用】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1.脱除原来就存在于水中的溶解气体；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2.吹脱塔为填料塔与筛板塔两种；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3.气液相平衡和传质速度理论。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填料塔精馏实验装置</w:t>
            </w: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【仪器技术参数】：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水：装置需冷却水，自来水通过装置接口及转子流量计进入塔顶的冷凝器后排出。电：电压 AC220V ，功率 2.0KW ，标准单相三线制。 每个实验室需配置 1~2 个接地点（安全地及信号地）。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实验物料：乙醇—水， 外配设备： 阿贝折光仪、超级恒温器、乙醇 （用户自配）。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主要设备：304 不锈钢塔体：φ 50 × 13 00mm 304 不锈钢材质框架 1600*550*2200mm ( 长 × 宽 × 高 ) ， 带脚轮 及禁锢脚 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【仪器功能与应用】：1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.学会判断系统达到稳定的方法，掌握测定塔顶、塔釜溶液浓度的实验方法。2.掌握回流比的调节方法，研究回流比对精馏塔分离效率的影响。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5.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  <w:lang w:val="en-US" w:eastAsia="zh-CN"/>
              </w:rPr>
              <w:t>综合传热实验装置</w:t>
            </w: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【仪器技术参数】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采用一体机平板触摸电脑，全程数字化触摸屏控制操作。HMI：投射式触控技术，5000万次触摸点，内存2G，功能：中央处理器数据显示控制。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额定电压：380V，总功率：5kW。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外形尺寸：2000×580×1800mm（长×宽×高），外形为可移动式设计，带刹车轮，高品质铝合金型材框架，无焊接点，安装拆卸方便，水平调节支撑型脚轮。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  <w:vertAlign w:val="baseline"/>
                <w:lang w:val="en-US" w:eastAsia="zh-CN"/>
              </w:rPr>
              <w:t>【仪器功能与应用】：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1.能够通过实验验证圆形直管内强制对流传热的经验关联式(Dittus-Boelter关联式）。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2.能够测定管外蒸气冷凝给热系数与总传热系数，与管内给热系数比较。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3.能够测定螺纹管强化传热系数，与光滑管比较。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strike w:val="0"/>
                <w:color w:val="auto"/>
                <w:spacing w:val="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2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right="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合计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5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5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180" w:firstLineChars="100"/>
              <w:jc w:val="both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</w:tbl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jc w:val="left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望领导批准。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7000" w:firstLineChars="25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药学院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160" w:firstLineChars="2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2026年3月23日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06A1DDE3-500F-4613-9F45-1B0C198D3E6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1A947A6-DFFC-443F-88EC-77FF81D2B8C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B7D3F69F-C1BD-477F-8047-FDC54EE20896}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82B98C60-37AB-46CA-A7C3-6D8579937296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BC3561F4-6481-4BFD-92A6-023D2943EE7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595479"/>
    <w:multiLevelType w:val="singleLevel"/>
    <w:tmpl w:val="A1595479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ZGJjM2E0ZmIyY2JiMDFiYWY1ZWM3OWE1NmZhNTAifQ=="/>
  </w:docVars>
  <w:rsids>
    <w:rsidRoot w:val="00000000"/>
    <w:rsid w:val="00A25D5D"/>
    <w:rsid w:val="02534595"/>
    <w:rsid w:val="02F77A5C"/>
    <w:rsid w:val="03843B1A"/>
    <w:rsid w:val="04BC1CF8"/>
    <w:rsid w:val="04FF3B4C"/>
    <w:rsid w:val="05271834"/>
    <w:rsid w:val="06F42637"/>
    <w:rsid w:val="07144B9C"/>
    <w:rsid w:val="0A30669D"/>
    <w:rsid w:val="0AC753D9"/>
    <w:rsid w:val="0B782E8C"/>
    <w:rsid w:val="0C7C53BE"/>
    <w:rsid w:val="0CCB6550"/>
    <w:rsid w:val="0F8A5D92"/>
    <w:rsid w:val="102304F3"/>
    <w:rsid w:val="108134D4"/>
    <w:rsid w:val="112B11B5"/>
    <w:rsid w:val="11BD3753"/>
    <w:rsid w:val="161D7256"/>
    <w:rsid w:val="17647850"/>
    <w:rsid w:val="1775427C"/>
    <w:rsid w:val="17CD1942"/>
    <w:rsid w:val="184D4033"/>
    <w:rsid w:val="19594C47"/>
    <w:rsid w:val="1D753621"/>
    <w:rsid w:val="1D92790C"/>
    <w:rsid w:val="1DFF2DBE"/>
    <w:rsid w:val="1F2D5F7A"/>
    <w:rsid w:val="247614EC"/>
    <w:rsid w:val="24C03B96"/>
    <w:rsid w:val="26342D1A"/>
    <w:rsid w:val="269822DE"/>
    <w:rsid w:val="27DA1836"/>
    <w:rsid w:val="28206D01"/>
    <w:rsid w:val="2AA52D28"/>
    <w:rsid w:val="2D061BD6"/>
    <w:rsid w:val="2E2F3A9D"/>
    <w:rsid w:val="2E804A30"/>
    <w:rsid w:val="2FF304F0"/>
    <w:rsid w:val="31494F75"/>
    <w:rsid w:val="33DD56B5"/>
    <w:rsid w:val="347D65B8"/>
    <w:rsid w:val="35D210F1"/>
    <w:rsid w:val="36384B0A"/>
    <w:rsid w:val="373A75A0"/>
    <w:rsid w:val="38C644C5"/>
    <w:rsid w:val="3A202878"/>
    <w:rsid w:val="3A2F1BFF"/>
    <w:rsid w:val="3E7C6E02"/>
    <w:rsid w:val="3EF06066"/>
    <w:rsid w:val="3FFDD948"/>
    <w:rsid w:val="405B2B76"/>
    <w:rsid w:val="411C3874"/>
    <w:rsid w:val="47F07457"/>
    <w:rsid w:val="48B6709F"/>
    <w:rsid w:val="4A135D34"/>
    <w:rsid w:val="4B547132"/>
    <w:rsid w:val="4BFA7849"/>
    <w:rsid w:val="4C3A79C4"/>
    <w:rsid w:val="4DAA43FC"/>
    <w:rsid w:val="4F1F1BFB"/>
    <w:rsid w:val="4F5337C4"/>
    <w:rsid w:val="4FB02741"/>
    <w:rsid w:val="50E8358C"/>
    <w:rsid w:val="549E12C5"/>
    <w:rsid w:val="56202438"/>
    <w:rsid w:val="57462870"/>
    <w:rsid w:val="5AC05BB6"/>
    <w:rsid w:val="5BFF331B"/>
    <w:rsid w:val="5D6D7DDD"/>
    <w:rsid w:val="5D6E9009"/>
    <w:rsid w:val="5E8B5483"/>
    <w:rsid w:val="5EEB460E"/>
    <w:rsid w:val="5FEDF75E"/>
    <w:rsid w:val="5FF42C32"/>
    <w:rsid w:val="61E24582"/>
    <w:rsid w:val="646F0596"/>
    <w:rsid w:val="6515549D"/>
    <w:rsid w:val="65BA1FCC"/>
    <w:rsid w:val="66AC5BDC"/>
    <w:rsid w:val="677FAD89"/>
    <w:rsid w:val="68A31F0D"/>
    <w:rsid w:val="68F34A2C"/>
    <w:rsid w:val="69C069AF"/>
    <w:rsid w:val="69F520DC"/>
    <w:rsid w:val="6B700D8C"/>
    <w:rsid w:val="6D090DC4"/>
    <w:rsid w:val="6D44705D"/>
    <w:rsid w:val="6FBB3BCD"/>
    <w:rsid w:val="6FEA2787"/>
    <w:rsid w:val="6FFEC37C"/>
    <w:rsid w:val="6FFFFB2C"/>
    <w:rsid w:val="70ED7858"/>
    <w:rsid w:val="710732AE"/>
    <w:rsid w:val="74426D8F"/>
    <w:rsid w:val="753EEFA4"/>
    <w:rsid w:val="76FBF146"/>
    <w:rsid w:val="7713784D"/>
    <w:rsid w:val="777F3558"/>
    <w:rsid w:val="78F9DA1C"/>
    <w:rsid w:val="79701CA2"/>
    <w:rsid w:val="79AF0500"/>
    <w:rsid w:val="79F56F32"/>
    <w:rsid w:val="7A535A12"/>
    <w:rsid w:val="7B7E5138"/>
    <w:rsid w:val="7C3F6B0A"/>
    <w:rsid w:val="7CFF1F42"/>
    <w:rsid w:val="7D7058D6"/>
    <w:rsid w:val="7DABB5F1"/>
    <w:rsid w:val="7EFB2D22"/>
    <w:rsid w:val="7EFE49E9"/>
    <w:rsid w:val="7FFF22CA"/>
    <w:rsid w:val="8D7F247D"/>
    <w:rsid w:val="96F802C0"/>
    <w:rsid w:val="97FCB521"/>
    <w:rsid w:val="A93DF1B9"/>
    <w:rsid w:val="ABF812B3"/>
    <w:rsid w:val="B5BEAC44"/>
    <w:rsid w:val="B7FFE87D"/>
    <w:rsid w:val="BAFF0A2B"/>
    <w:rsid w:val="BDFCBFC7"/>
    <w:rsid w:val="BEFFAC67"/>
    <w:rsid w:val="BF7B012F"/>
    <w:rsid w:val="BFF36D21"/>
    <w:rsid w:val="BFFCDBBA"/>
    <w:rsid w:val="DA73BA30"/>
    <w:rsid w:val="E3FFCBC4"/>
    <w:rsid w:val="E5EB251E"/>
    <w:rsid w:val="E778E945"/>
    <w:rsid w:val="E7F1D511"/>
    <w:rsid w:val="EDF64CAB"/>
    <w:rsid w:val="EFA6A9DF"/>
    <w:rsid w:val="EFFF36E8"/>
    <w:rsid w:val="EFFF4ECA"/>
    <w:rsid w:val="F5F723B3"/>
    <w:rsid w:val="F7FDCA77"/>
    <w:rsid w:val="F92BA6D1"/>
    <w:rsid w:val="F9FFE6D8"/>
    <w:rsid w:val="FB6A6385"/>
    <w:rsid w:val="FBAF97FD"/>
    <w:rsid w:val="FDEE04DF"/>
    <w:rsid w:val="FF4E5E19"/>
    <w:rsid w:val="FF4EE2A5"/>
    <w:rsid w:val="FF7FC0D9"/>
    <w:rsid w:val="FFBD8112"/>
    <w:rsid w:val="FFF7A53E"/>
    <w:rsid w:val="FFFFB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40" w:after="120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keepNext w:val="0"/>
      <w:keepLines w:val="0"/>
      <w:widowControl w:val="0"/>
      <w:suppressLineNumbers w:val="0"/>
      <w:tabs>
        <w:tab w:val="center" w:pos="4153"/>
        <w:tab w:val="right" w:pos="8306"/>
      </w:tabs>
      <w:snapToGrid w:val="0"/>
      <w:spacing w:before="0" w:beforeAutospacing="0" w:after="0" w:afterAutospacing="0"/>
      <w:ind w:left="0" w:right="0"/>
      <w:jc w:val="left"/>
    </w:pPr>
    <w:rPr>
      <w:rFonts w:hint="default" w:ascii="Calibri" w:hAnsi="Calibri" w:eastAsia="宋体" w:cs="Times New Roman"/>
      <w:kern w:val="2"/>
      <w:sz w:val="18"/>
      <w:szCs w:val="18"/>
      <w:lang w:val="en-US" w:eastAsia="zh-CN" w:bidi="ar"/>
    </w:rPr>
  </w:style>
  <w:style w:type="paragraph" w:styleId="5">
    <w:name w:val="Normal Indent"/>
    <w:basedOn w:val="1"/>
    <w:autoRedefine/>
    <w:unhideWhenUsed/>
    <w:qFormat/>
    <w:uiPriority w:val="0"/>
    <w:pPr>
      <w:ind w:firstLine="420" w:firstLineChars="200"/>
    </w:pPr>
    <w:rPr>
      <w:rFonts w:cs="Times New Roman"/>
      <w:sz w:val="21"/>
      <w:szCs w:val="21"/>
    </w:rPr>
  </w:style>
  <w:style w:type="paragraph" w:styleId="6">
    <w:name w:val="Body Text"/>
    <w:basedOn w:val="1"/>
    <w:next w:val="1"/>
    <w:autoRedefine/>
    <w:qFormat/>
    <w:uiPriority w:val="0"/>
    <w:pPr>
      <w:widowControl w:val="0"/>
      <w:adjustRightInd w:val="0"/>
      <w:snapToGrid w:val="0"/>
      <w:spacing w:after="100" w:afterAutospacing="1"/>
      <w:ind w:firstLine="200" w:firstLineChars="200"/>
      <w:jc w:val="both"/>
    </w:pPr>
    <w:rPr>
      <w:rFonts w:cs="宋体"/>
      <w:kern w:val="2"/>
      <w:sz w:val="28"/>
      <w:szCs w:val="20"/>
    </w:rPr>
  </w:style>
  <w:style w:type="paragraph" w:styleId="7">
    <w:name w:val="Normal (Web)"/>
    <w:basedOn w:val="1"/>
    <w:qFormat/>
    <w:uiPriority w:val="0"/>
    <w:rPr>
      <w:sz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51"/>
    <w:basedOn w:val="10"/>
    <w:qFormat/>
    <w:uiPriority w:val="0"/>
    <w:rPr>
      <w:rFonts w:hint="default" w:ascii="方正仿宋_GBK" w:hAnsi="方正仿宋_GBK" w:eastAsia="方正仿宋_GBK" w:cs="方正仿宋_GBK"/>
      <w:color w:val="000000"/>
      <w:sz w:val="24"/>
      <w:szCs w:val="24"/>
      <w:u w:val="none"/>
    </w:rPr>
  </w:style>
  <w:style w:type="character" w:customStyle="1" w:styleId="12">
    <w:name w:val="font61"/>
    <w:basedOn w:val="10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3">
    <w:name w:val="font21"/>
    <w:basedOn w:val="10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4">
    <w:name w:val="font11"/>
    <w:basedOn w:val="1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5">
    <w:name w:val="font91"/>
    <w:basedOn w:val="10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4873</Words>
  <Characters>5737</Characters>
  <Lines>0</Lines>
  <Paragraphs>0</Paragraphs>
  <TotalTime>32</TotalTime>
  <ScaleCrop>false</ScaleCrop>
  <LinksUpToDate>false</LinksUpToDate>
  <CharactersWithSpaces>5933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2023-02-23T07:54:00Z</dcterms:created>
  <dc:creator>Administrator</dc:creator>
  <cp:lastModifiedBy>梁新艳</cp:lastModifiedBy>
  <cp:lastPrinted>2026-03-24T08:56:00Z</cp:lastPrinted>
  <dcterms:modified xsi:type="dcterms:W3CDTF">2026-04-13T09:12:12Z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C27506AFF9BB4153817D7DD994A92B42_13</vt:lpwstr>
  </property>
  <property fmtid="{D5CDD505-2E9C-101B-9397-08002B2CF9AE}" pid="4" name="KSOTemplateDocerSaveRecord">
    <vt:lpwstr>eyJoZGlkIjoiZGMxZjYwMTQyYTI3ZDUwYmIwMjQ0ZWRlZjc0OTgwODUiLCJ1c2VySWQiOiIxNjcyMTg3Nzc1In0=</vt:lpwstr>
  </property>
</Properties>
</file>