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60" w:lineRule="auto"/>
        <w:jc w:val="center"/>
        <w:outlineLvl w:val="0"/>
        <w:rPr>
          <w:rFonts w:hint="eastAsia" w:ascii="宋体" w:hAnsi="宋体" w:cs="宋体"/>
          <w:b/>
          <w:bCs/>
          <w:sz w:val="44"/>
          <w:szCs w:val="44"/>
          <w:lang w:val="en-US" w:eastAsia="zh-CN"/>
        </w:rPr>
      </w:pPr>
    </w:p>
    <w:p>
      <w:pPr>
        <w:snapToGrid w:val="0"/>
        <w:spacing w:line="360" w:lineRule="auto"/>
        <w:jc w:val="center"/>
        <w:outlineLvl w:val="0"/>
        <w:rPr>
          <w:rFonts w:hint="eastAsia" w:ascii="宋体" w:hAnsi="宋体" w:cs="宋体"/>
          <w:b/>
          <w:bCs/>
          <w:sz w:val="44"/>
          <w:szCs w:val="44"/>
          <w:lang w:val="en-US" w:eastAsia="zh-CN"/>
        </w:rPr>
      </w:pPr>
    </w:p>
    <w:p>
      <w:pPr>
        <w:snapToGrid w:val="0"/>
        <w:spacing w:line="360" w:lineRule="auto"/>
        <w:jc w:val="center"/>
        <w:outlineLvl w:val="0"/>
        <w:rPr>
          <w:rFonts w:hint="eastAsia" w:ascii="宋体" w:hAnsi="宋体" w:cs="宋体"/>
          <w:b/>
          <w:bCs/>
          <w:sz w:val="44"/>
          <w:szCs w:val="44"/>
          <w:lang w:val="en-US" w:eastAsia="zh-CN"/>
        </w:rPr>
      </w:pPr>
    </w:p>
    <w:p>
      <w:pPr>
        <w:snapToGrid w:val="0"/>
        <w:spacing w:line="360" w:lineRule="auto"/>
        <w:jc w:val="center"/>
        <w:outlineLvl w:val="0"/>
        <w:rPr>
          <w:rFonts w:hint="eastAsia" w:ascii="宋体" w:hAnsi="宋体" w:cs="宋体"/>
          <w:b/>
          <w:bCs/>
          <w:sz w:val="44"/>
          <w:szCs w:val="44"/>
          <w:lang w:val="en-US" w:eastAsia="zh-CN"/>
        </w:rPr>
      </w:pPr>
    </w:p>
    <w:p>
      <w:pPr>
        <w:snapToGrid w:val="0"/>
        <w:spacing w:line="360" w:lineRule="auto"/>
        <w:jc w:val="center"/>
        <w:outlineLvl w:val="0"/>
        <w:rPr>
          <w:rFonts w:hint="eastAsia" w:ascii="宋体" w:hAnsi="宋体" w:cs="宋体"/>
          <w:b/>
          <w:bCs/>
          <w:sz w:val="56"/>
          <w:szCs w:val="56"/>
          <w:lang w:val="en-US" w:eastAsia="zh-CN"/>
        </w:rPr>
      </w:pPr>
      <w:r>
        <w:rPr>
          <w:rFonts w:hint="eastAsia" w:ascii="宋体" w:hAnsi="宋体" w:cs="宋体"/>
          <w:b/>
          <w:bCs/>
          <w:sz w:val="56"/>
          <w:szCs w:val="56"/>
          <w:lang w:val="en-US" w:eastAsia="zh-CN"/>
        </w:rPr>
        <w:t>山东现代学院</w:t>
      </w:r>
    </w:p>
    <w:p>
      <w:pPr>
        <w:snapToGrid w:val="0"/>
        <w:spacing w:line="360" w:lineRule="auto"/>
        <w:jc w:val="center"/>
        <w:outlineLvl w:val="0"/>
        <w:rPr>
          <w:rFonts w:hint="eastAsia" w:ascii="宋体" w:hAnsi="宋体" w:cs="宋体"/>
          <w:b/>
          <w:bCs/>
          <w:sz w:val="56"/>
          <w:szCs w:val="56"/>
          <w:lang w:val="en-US" w:eastAsia="zh-CN"/>
        </w:rPr>
      </w:pPr>
      <w:r>
        <w:rPr>
          <w:rFonts w:hint="eastAsia" w:ascii="宋体" w:hAnsi="宋体" w:cs="宋体"/>
          <w:b/>
          <w:bCs/>
          <w:sz w:val="56"/>
          <w:szCs w:val="56"/>
          <w:lang w:val="en-US" w:eastAsia="zh-CN"/>
        </w:rPr>
        <w:t>智慧教育示范校建设方案书</w:t>
      </w:r>
    </w:p>
    <w:p>
      <w:pPr>
        <w:snapToGrid w:val="0"/>
        <w:spacing w:line="360" w:lineRule="auto"/>
        <w:jc w:val="center"/>
        <w:rPr>
          <w:rFonts w:hint="eastAsia" w:ascii="宋体" w:hAnsi="宋体" w:cs="宋体"/>
          <w:b/>
          <w:bCs/>
          <w:sz w:val="44"/>
          <w:szCs w:val="44"/>
          <w:lang w:val="en-US" w:eastAsia="zh-CN"/>
        </w:rPr>
      </w:pPr>
    </w:p>
    <w:p>
      <w:pPr>
        <w:snapToGrid w:val="0"/>
        <w:spacing w:line="360" w:lineRule="auto"/>
        <w:jc w:val="center"/>
        <w:rPr>
          <w:rFonts w:hint="eastAsia" w:ascii="宋体" w:hAnsi="宋体" w:cs="宋体"/>
          <w:b/>
          <w:bCs/>
          <w:sz w:val="44"/>
          <w:szCs w:val="44"/>
          <w:lang w:val="en-US" w:eastAsia="zh-CN"/>
        </w:rPr>
      </w:pPr>
    </w:p>
    <w:p>
      <w:pPr>
        <w:snapToGrid w:val="0"/>
        <w:spacing w:line="360" w:lineRule="auto"/>
        <w:jc w:val="center"/>
        <w:rPr>
          <w:rFonts w:hint="eastAsia" w:ascii="宋体" w:hAnsi="宋体" w:cs="宋体"/>
          <w:b/>
          <w:bCs/>
          <w:sz w:val="44"/>
          <w:szCs w:val="44"/>
          <w:lang w:val="en-US" w:eastAsia="zh-CN"/>
        </w:rPr>
      </w:pPr>
    </w:p>
    <w:p>
      <w:pPr>
        <w:snapToGrid w:val="0"/>
        <w:spacing w:line="360" w:lineRule="auto"/>
        <w:jc w:val="center"/>
        <w:rPr>
          <w:rFonts w:hint="eastAsia" w:ascii="宋体" w:hAnsi="宋体" w:cs="宋体"/>
          <w:b/>
          <w:bCs/>
          <w:sz w:val="44"/>
          <w:szCs w:val="44"/>
          <w:lang w:val="en-US" w:eastAsia="zh-CN"/>
        </w:rPr>
      </w:pPr>
    </w:p>
    <w:p>
      <w:pPr>
        <w:snapToGrid w:val="0"/>
        <w:spacing w:line="360" w:lineRule="auto"/>
        <w:jc w:val="center"/>
        <w:rPr>
          <w:rFonts w:hint="eastAsia" w:ascii="宋体" w:hAnsi="宋体" w:cs="宋体"/>
          <w:b/>
          <w:bCs/>
          <w:sz w:val="44"/>
          <w:szCs w:val="44"/>
          <w:lang w:val="en-US" w:eastAsia="zh-CN"/>
        </w:rPr>
      </w:pPr>
    </w:p>
    <w:p>
      <w:pPr>
        <w:snapToGrid w:val="0"/>
        <w:spacing w:line="360" w:lineRule="auto"/>
        <w:jc w:val="center"/>
        <w:rPr>
          <w:rFonts w:hint="eastAsia" w:ascii="宋体" w:hAnsi="宋体" w:cs="宋体"/>
          <w:b/>
          <w:bCs/>
          <w:sz w:val="44"/>
          <w:szCs w:val="44"/>
          <w:lang w:val="en-US" w:eastAsia="zh-CN"/>
        </w:rPr>
      </w:pPr>
    </w:p>
    <w:p>
      <w:pPr>
        <w:snapToGrid w:val="0"/>
        <w:spacing w:line="360" w:lineRule="auto"/>
        <w:jc w:val="center"/>
        <w:rPr>
          <w:rFonts w:hint="default" w:ascii="宋体" w:hAnsi="宋体" w:cs="宋体"/>
          <w:b/>
          <w:bCs/>
          <w:sz w:val="44"/>
          <w:szCs w:val="44"/>
          <w:lang w:val="en-US" w:eastAsia="zh-CN"/>
        </w:rPr>
      </w:pPr>
      <w:r>
        <w:rPr>
          <w:rFonts w:hint="eastAsia" w:ascii="宋体" w:hAnsi="宋体" w:cs="宋体"/>
          <w:b/>
          <w:bCs/>
          <w:sz w:val="44"/>
          <w:szCs w:val="44"/>
          <w:lang w:val="en-US" w:eastAsia="zh-CN"/>
        </w:rPr>
        <w:t>日期：2024-9-28</w:t>
      </w:r>
    </w:p>
    <w:p>
      <w:pPr>
        <w:snapToGrid w:val="0"/>
        <w:spacing w:line="360" w:lineRule="auto"/>
        <w:jc w:val="center"/>
        <w:rPr>
          <w:rFonts w:hint="eastAsia" w:ascii="宋体" w:hAnsi="宋体" w:cs="宋体"/>
          <w:b/>
          <w:bCs/>
          <w:sz w:val="44"/>
          <w:szCs w:val="44"/>
          <w:lang w:val="en-US" w:eastAsia="zh-CN"/>
        </w:rPr>
      </w:pPr>
    </w:p>
    <w:p>
      <w:pPr>
        <w:pStyle w:val="2"/>
        <w:pageBreakBefore w:val="0"/>
        <w:kinsoku/>
        <w:wordWrap/>
        <w:overflowPunct/>
        <w:topLinePunct w:val="0"/>
        <w:autoSpaceDE/>
        <w:autoSpaceDN/>
        <w:bidi w:val="0"/>
        <w:adjustRightInd/>
        <w:snapToGrid/>
        <w:spacing w:before="313" w:beforeLines="100" w:after="313" w:afterLines="100"/>
        <w:jc w:val="center"/>
        <w:textAlignment w:val="auto"/>
        <w:rPr>
          <w:rFonts w:hint="eastAsia" w:ascii="华文中宋" w:hAnsi="华文中宋" w:eastAsia="华文中宋" w:cs="华文中宋"/>
          <w:sz w:val="48"/>
          <w:szCs w:val="48"/>
          <w:lang w:val="en-US" w:eastAsia="zh-CN"/>
        </w:rPr>
        <w:sectPr>
          <w:pgSz w:w="11906" w:h="16838"/>
          <w:pgMar w:top="1270" w:right="1066" w:bottom="1383" w:left="1180" w:header="851" w:footer="992" w:gutter="0"/>
          <w:cols w:space="425" w:num="1"/>
          <w:docGrid w:type="lines" w:linePitch="312" w:charSpace="0"/>
        </w:sectPr>
      </w:pPr>
    </w:p>
    <w:p>
      <w:pPr>
        <w:pStyle w:val="2"/>
        <w:pageBreakBefore w:val="0"/>
        <w:kinsoku/>
        <w:wordWrap/>
        <w:overflowPunct/>
        <w:topLinePunct w:val="0"/>
        <w:autoSpaceDE/>
        <w:autoSpaceDN/>
        <w:bidi w:val="0"/>
        <w:adjustRightInd/>
        <w:snapToGrid/>
        <w:spacing w:before="313" w:beforeLines="100" w:after="313" w:afterLines="100"/>
        <w:jc w:val="center"/>
        <w:textAlignment w:val="auto"/>
        <w:rPr>
          <w:rFonts w:hint="eastAsia" w:ascii="华文中宋" w:hAnsi="华文中宋" w:eastAsia="华文中宋" w:cs="华文中宋"/>
          <w:sz w:val="48"/>
          <w:szCs w:val="48"/>
          <w:lang w:val="en-US" w:eastAsia="zh-CN"/>
        </w:rPr>
      </w:pPr>
      <w:r>
        <w:rPr>
          <w:rFonts w:hint="eastAsia" w:ascii="华文中宋" w:hAnsi="华文中宋" w:eastAsia="华文中宋" w:cs="华文中宋"/>
          <w:sz w:val="48"/>
          <w:szCs w:val="48"/>
          <w:lang w:val="en-US" w:eastAsia="zh-CN"/>
        </w:rPr>
        <w:t>智慧校园建设方案</w:t>
      </w:r>
    </w:p>
    <w:p>
      <w:pPr>
        <w:pageBreakBefore w:val="0"/>
        <w:kinsoku/>
        <w:wordWrap/>
        <w:overflowPunct/>
        <w:topLinePunct w:val="0"/>
        <w:autoSpaceDE/>
        <w:autoSpaceDN/>
        <w:bidi w:val="0"/>
        <w:adjustRightInd/>
        <w:snapToGrid/>
        <w:spacing w:before="313" w:beforeLines="100" w:after="313" w:afterLines="1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尊敬的院领导：</w:t>
      </w:r>
    </w:p>
    <w:p>
      <w:pPr>
        <w:pageBreakBefore w:val="0"/>
        <w:kinsoku/>
        <w:wordWrap/>
        <w:overflowPunct/>
        <w:topLinePunct w:val="0"/>
        <w:autoSpaceDE/>
        <w:autoSpaceDN/>
        <w:bidi w:val="0"/>
        <w:adjustRightInd/>
        <w:snapToGrid/>
        <w:spacing w:before="313" w:beforeLines="100" w:after="313" w:afterLines="100"/>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目前我院信息化建设已经取得了初步的成效，智慧校园展厅、智慧监控、智慧教学等已正式上线运行；未来我院将对标</w:t>
      </w:r>
      <w:r>
        <w:rPr>
          <w:rFonts w:hint="eastAsia" w:ascii="宋体" w:hAnsi="宋体" w:eastAsia="宋体" w:cs="宋体"/>
          <w:sz w:val="32"/>
          <w:szCs w:val="32"/>
        </w:rPr>
        <w:t>“智慧教育示范校”</w:t>
      </w:r>
      <w:r>
        <w:rPr>
          <w:rFonts w:hint="eastAsia" w:ascii="宋体" w:hAnsi="宋体" w:eastAsia="宋体" w:cs="宋体"/>
          <w:sz w:val="32"/>
          <w:szCs w:val="32"/>
          <w:lang w:val="en-US" w:eastAsia="zh-CN"/>
        </w:rPr>
        <w:t>进一步推进智慧校园建设</w:t>
      </w:r>
      <w:r>
        <w:rPr>
          <w:rFonts w:hint="eastAsia" w:ascii="宋体" w:hAnsi="宋体" w:eastAsia="宋体" w:cs="宋体"/>
          <w:sz w:val="32"/>
          <w:szCs w:val="32"/>
          <w:lang w:eastAsia="zh-CN"/>
        </w:rPr>
        <w:t>，</w:t>
      </w:r>
      <w:r>
        <w:rPr>
          <w:rFonts w:hint="eastAsia" w:ascii="宋体" w:hAnsi="宋体" w:eastAsia="宋体" w:cs="宋体"/>
          <w:sz w:val="32"/>
          <w:szCs w:val="32"/>
          <w:lang w:val="en-US" w:eastAsia="zh-CN"/>
        </w:rPr>
        <w:t>更好的服务教育教学工作，申请建设内容如下：</w:t>
      </w:r>
    </w:p>
    <w:p>
      <w:pPr>
        <w:pStyle w:val="2"/>
        <w:pageBreakBefore w:val="0"/>
        <w:numPr>
          <w:ilvl w:val="0"/>
          <w:numId w:val="1"/>
        </w:numPr>
        <w:kinsoku/>
        <w:wordWrap/>
        <w:overflowPunct/>
        <w:topLinePunct w:val="0"/>
        <w:autoSpaceDE/>
        <w:autoSpaceDN/>
        <w:bidi w:val="0"/>
        <w:adjustRightInd/>
        <w:snapToGrid/>
        <w:spacing w:before="313" w:beforeLines="100" w:after="313" w:afterLines="100"/>
        <w:jc w:val="left"/>
        <w:textAlignment w:val="auto"/>
        <w:rPr>
          <w:rFonts w:hint="eastAsia" w:ascii="华文中宋" w:hAnsi="华文中宋" w:eastAsia="华文中宋" w:cs="华文中宋"/>
          <w:sz w:val="32"/>
          <w:szCs w:val="32"/>
          <w:lang w:val="en-US" w:eastAsia="zh-CN"/>
        </w:rPr>
      </w:pPr>
      <w:r>
        <w:rPr>
          <w:rFonts w:hint="eastAsia" w:ascii="华文中宋" w:hAnsi="华文中宋" w:eastAsia="华文中宋" w:cs="华文中宋"/>
          <w:b/>
          <w:sz w:val="32"/>
          <w:szCs w:val="32"/>
          <w:lang w:val="en-US" w:eastAsia="zh-CN"/>
        </w:rPr>
        <w:t>智慧校园</w:t>
      </w:r>
      <w:r>
        <w:rPr>
          <w:rFonts w:hint="eastAsia" w:ascii="华文中宋" w:hAnsi="华文中宋" w:eastAsia="华文中宋" w:cs="华文中宋"/>
          <w:sz w:val="32"/>
          <w:szCs w:val="32"/>
          <w:lang w:val="en-US" w:eastAsia="zh-CN"/>
        </w:rPr>
        <w:t>数据治理服务</w:t>
      </w:r>
    </w:p>
    <w:tbl>
      <w:tblPr>
        <w:tblStyle w:val="3"/>
        <w:tblW w:w="10217" w:type="dxa"/>
        <w:tblInd w:w="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4"/>
        <w:gridCol w:w="1191"/>
        <w:gridCol w:w="2015"/>
        <w:gridCol w:w="2459"/>
        <w:gridCol w:w="737"/>
        <w:gridCol w:w="690"/>
        <w:gridCol w:w="661"/>
        <w:gridCol w:w="180"/>
        <w:gridCol w:w="983"/>
        <w:gridCol w:w="51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10217" w:type="dxa"/>
            <w:gridSpan w:val="10"/>
            <w:tcBorders>
              <w:top w:val="single" w:color="000000" w:sz="4" w:space="0"/>
              <w:left w:val="single" w:color="000000" w:sz="4" w:space="0"/>
              <w:bottom w:val="single" w:color="000000" w:sz="4" w:space="0"/>
              <w:right w:val="single" w:color="000000" w:sz="4" w:space="0"/>
            </w:tcBorders>
            <w:shd w:val="clear" w:color="auto" w:fill="BFBFB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2"/>
                <w:szCs w:val="32"/>
                <w:u w:val="none"/>
                <w:lang w:val="en-US" w:eastAsia="zh-CN" w:bidi="ar"/>
              </w:rPr>
              <w:t>山东现代学院</w:t>
            </w:r>
            <w:r>
              <w:rPr>
                <w:rStyle w:val="7"/>
                <w:sz w:val="32"/>
                <w:szCs w:val="32"/>
                <w:lang w:val="en-US" w:eastAsia="zh-CN" w:bidi="ar"/>
              </w:rPr>
              <w:t>数据治理服务</w:t>
            </w:r>
            <w:r>
              <w:rPr>
                <w:rStyle w:val="8"/>
                <w:sz w:val="32"/>
                <w:szCs w:val="32"/>
                <w:lang w:val="en-US" w:eastAsia="zh-CN" w:bidi="ar"/>
              </w:rPr>
              <w:t>建设清单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0217" w:type="dxa"/>
            <w:gridSpan w:val="10"/>
            <w:tcBorders>
              <w:top w:val="single" w:color="000000" w:sz="4" w:space="0"/>
              <w:left w:val="single" w:color="000000" w:sz="4" w:space="0"/>
              <w:bottom w:val="single" w:color="000000" w:sz="4" w:space="0"/>
              <w:right w:val="single" w:color="000000" w:sz="4" w:space="0"/>
            </w:tcBorders>
            <w:shd w:val="clear" w:color="auto" w:fill="F2F2F2"/>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数据中台建设清单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0"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模块</w:t>
            </w:r>
          </w:p>
        </w:tc>
        <w:tc>
          <w:tcPr>
            <w:tcW w:w="20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名称</w:t>
            </w: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内容</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类别</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8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15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9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数据中台</w:t>
            </w:r>
          </w:p>
        </w:tc>
        <w:tc>
          <w:tcPr>
            <w:tcW w:w="20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统一数据治理平台</w:t>
            </w: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元数据管理</w:t>
            </w:r>
          </w:p>
        </w:tc>
        <w:tc>
          <w:tcPr>
            <w:tcW w:w="7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工具</w:t>
            </w:r>
          </w:p>
        </w:tc>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841"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150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数据标准管理</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数据建模管理</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数据中心管理</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数据质量管理</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数据资产管理</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数据安全管理</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系统管理</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统一数据集成开发平台</w:t>
            </w: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数据集成管理</w:t>
            </w:r>
          </w:p>
        </w:tc>
        <w:tc>
          <w:tcPr>
            <w:tcW w:w="7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工具</w:t>
            </w:r>
          </w:p>
        </w:tc>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841"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150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数据开发管理</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文件集成管理</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日志集成管理</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运维监控管理</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系统管理</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统一API管理平台</w:t>
            </w: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API大屏</w:t>
            </w:r>
          </w:p>
        </w:tc>
        <w:tc>
          <w:tcPr>
            <w:tcW w:w="7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工具</w:t>
            </w:r>
          </w:p>
        </w:tc>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841"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150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API接口管理</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API编排</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API监控</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系统管理</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接口中心</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应用详情</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API开发管理</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API测试</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API调度</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开发者中心</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统一数据资产服务平台</w:t>
            </w: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数据标准目录</w:t>
            </w:r>
          </w:p>
        </w:tc>
        <w:tc>
          <w:tcPr>
            <w:tcW w:w="7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工具</w:t>
            </w:r>
          </w:p>
        </w:tc>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841"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150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数据资产目录</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部门资产中心</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数据开放统计</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个人中心</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AI中台建设</w:t>
            </w:r>
          </w:p>
        </w:tc>
        <w:tc>
          <w:tcPr>
            <w:tcW w:w="20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AI能力引擎</w:t>
            </w: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AI数据分析</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工具</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8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15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119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数据采集填报平台</w:t>
            </w:r>
          </w:p>
        </w:tc>
        <w:tc>
          <w:tcPr>
            <w:tcW w:w="20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一表通</w:t>
            </w: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数据采集</w:t>
            </w:r>
          </w:p>
        </w:tc>
        <w:tc>
          <w:tcPr>
            <w:tcW w:w="7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工具</w:t>
            </w:r>
          </w:p>
        </w:tc>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1"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150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数据填报</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数据报表</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问卷中心</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119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智慧领导驾驶舱</w:t>
            </w:r>
          </w:p>
        </w:tc>
        <w:tc>
          <w:tcPr>
            <w:tcW w:w="20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大数据分析可视化平台</w:t>
            </w:r>
          </w:p>
        </w:tc>
        <w:tc>
          <w:tcPr>
            <w:tcW w:w="24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领导驾驶舱</w:t>
            </w:r>
          </w:p>
        </w:tc>
        <w:tc>
          <w:tcPr>
            <w:tcW w:w="7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工具</w:t>
            </w:r>
          </w:p>
        </w:tc>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1"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150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1、借助平台低代码能力，通过拖、拉、拽等操作，帮助各业务部门根据实际需求，实现自助式数据可视化分析；</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2、提供移动端数据查阅服务，方便各业务主管领导主动地获取数据分析结果。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业务分析</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数据报表分析</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数据整合</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敏捷分析</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酷屏工具</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6"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移动应用服务</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消息中心平台建设</w:t>
            </w:r>
          </w:p>
        </w:tc>
        <w:tc>
          <w:tcPr>
            <w:tcW w:w="20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消息中心引擎</w:t>
            </w: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消息推送</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工具</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8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15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10217" w:type="dxa"/>
            <w:gridSpan w:val="10"/>
            <w:tcBorders>
              <w:top w:val="single" w:color="000000" w:sz="4" w:space="0"/>
              <w:left w:val="single" w:color="000000" w:sz="4" w:space="0"/>
              <w:bottom w:val="single" w:color="000000" w:sz="4" w:space="0"/>
              <w:right w:val="single" w:color="000000" w:sz="4" w:space="0"/>
            </w:tcBorders>
            <w:shd w:val="clear" w:color="auto" w:fill="F2F2F2"/>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2"/>
                <w:szCs w:val="32"/>
                <w:u w:val="none"/>
                <w:lang w:val="en-US" w:eastAsia="zh-CN" w:bidi="ar"/>
              </w:rPr>
              <w:t>大数据智慧应用分析服务建设清单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119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数据治理服务</w:t>
            </w:r>
          </w:p>
        </w:tc>
        <w:tc>
          <w:tcPr>
            <w:tcW w:w="20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数据规划服务</w:t>
            </w: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数据治理与业务域建模规划</w:t>
            </w:r>
          </w:p>
        </w:tc>
        <w:tc>
          <w:tcPr>
            <w:tcW w:w="7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服务</w:t>
            </w:r>
          </w:p>
        </w:tc>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841"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150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Style w:val="9"/>
                <w:lang w:val="en-US" w:eastAsia="zh-CN" w:bidi="ar"/>
              </w:rPr>
              <w:t>1、提供人事、学工、教务、资产、图书、科研、财务等</w:t>
            </w:r>
            <w:r>
              <w:rPr>
                <w:rStyle w:val="10"/>
                <w:lang w:val="en-US" w:eastAsia="zh-CN" w:bidi="ar"/>
              </w:rPr>
              <w:t>10个</w:t>
            </w:r>
            <w:r>
              <w:rPr>
                <w:rStyle w:val="9"/>
                <w:lang w:val="en-US" w:eastAsia="zh-CN" w:bidi="ar"/>
              </w:rPr>
              <w:t>业务系统治理服务；</w:t>
            </w:r>
            <w:r>
              <w:rPr>
                <w:rStyle w:val="9"/>
                <w:lang w:val="en-US" w:eastAsia="zh-CN" w:bidi="ar"/>
              </w:rPr>
              <w:br w:type="textWrapping"/>
            </w:r>
            <w:r>
              <w:rPr>
                <w:rStyle w:val="9"/>
                <w:lang w:val="en-US" w:eastAsia="zh-CN" w:bidi="ar"/>
              </w:rPr>
              <w:t>2、提供数据安全管理服务；</w:t>
            </w:r>
            <w:r>
              <w:rPr>
                <w:rStyle w:val="9"/>
                <w:lang w:val="en-US" w:eastAsia="zh-CN" w:bidi="ar"/>
              </w:rPr>
              <w:br w:type="textWrapping"/>
            </w:r>
            <w:r>
              <w:rPr>
                <w:rStyle w:val="9"/>
                <w:lang w:val="en-US" w:eastAsia="zh-CN" w:bidi="ar"/>
              </w:rPr>
              <w:t>3、提供数据资产一图全览服务。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数据管理与使用办法制定</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业务流数据流梳理与数据应用规划</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三清单梳理服务</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数据管理服务</w:t>
            </w: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校级数据标准建设服务</w:t>
            </w:r>
          </w:p>
        </w:tc>
        <w:tc>
          <w:tcPr>
            <w:tcW w:w="7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服务</w:t>
            </w:r>
          </w:p>
        </w:tc>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841"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49</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元数据中心建设服务</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数据建模服务</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数据集成清洗服务</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历史库建设服务</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53</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数据安全分类分级服务</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54</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数据资产目录建设服务</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数据质量监测和报告服务</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56</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数据纠错补录服务</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57</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共享数据中心迁移服务</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58</w:t>
            </w:r>
          </w:p>
        </w:tc>
        <w:tc>
          <w:tcPr>
            <w:tcW w:w="119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AI校园服务</w:t>
            </w:r>
          </w:p>
        </w:tc>
        <w:tc>
          <w:tcPr>
            <w:tcW w:w="201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智慧助手</w:t>
            </w: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一键问数服务</w:t>
            </w:r>
          </w:p>
        </w:tc>
        <w:tc>
          <w:tcPr>
            <w:tcW w:w="7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服务</w:t>
            </w:r>
          </w:p>
        </w:tc>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841"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150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AI机器人</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AI招生通</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61</w:t>
            </w:r>
          </w:p>
        </w:tc>
        <w:tc>
          <w:tcPr>
            <w:tcW w:w="119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数据采集填报服务</w:t>
            </w:r>
          </w:p>
        </w:tc>
        <w:tc>
          <w:tcPr>
            <w:tcW w:w="20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数据采集填报服务</w:t>
            </w: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部门数据采集填报服务</w:t>
            </w:r>
          </w:p>
        </w:tc>
        <w:tc>
          <w:tcPr>
            <w:tcW w:w="7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服务</w:t>
            </w:r>
          </w:p>
        </w:tc>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841"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150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1、提供数据采集服务。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个人数据采集填报服务</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63</w:t>
            </w:r>
          </w:p>
        </w:tc>
        <w:tc>
          <w:tcPr>
            <w:tcW w:w="119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数据应用服务</w:t>
            </w:r>
          </w:p>
        </w:tc>
        <w:tc>
          <w:tcPr>
            <w:tcW w:w="201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可视化大屏</w:t>
            </w: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校情综合概况</w:t>
            </w:r>
          </w:p>
        </w:tc>
        <w:tc>
          <w:tcPr>
            <w:tcW w:w="7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服务</w:t>
            </w:r>
          </w:p>
        </w:tc>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841"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150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1、提供10项主题分析大屏服务。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部门画像</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教师个人画像</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学生个人画像</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67</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图书借阅画像</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68</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业务应用</w:t>
            </w: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校园运动</w:t>
            </w:r>
          </w:p>
        </w:tc>
        <w:tc>
          <w:tcPr>
            <w:tcW w:w="7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服务</w:t>
            </w:r>
          </w:p>
        </w:tc>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841"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150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1、提供10项业务指标监测服务。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69</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学业预警</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失联预警</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71</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晚归预警</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72</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贫困生资助</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15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8537"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合计约：</w:t>
            </w:r>
          </w:p>
        </w:tc>
        <w:tc>
          <w:tcPr>
            <w:tcW w:w="11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sz w:val="28"/>
                <w:szCs w:val="28"/>
                <w:u w:val="none"/>
                <w:lang w:val="en-US"/>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73</w:t>
            </w:r>
          </w:p>
        </w:tc>
        <w:tc>
          <w:tcPr>
            <w:tcW w:w="119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迎新系统升级</w:t>
            </w:r>
          </w:p>
        </w:tc>
        <w:tc>
          <w:tcPr>
            <w:tcW w:w="201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迎新管理服务升级</w:t>
            </w: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现场迎新管理</w:t>
            </w:r>
          </w:p>
        </w:tc>
        <w:tc>
          <w:tcPr>
            <w:tcW w:w="73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工具+服务</w:t>
            </w:r>
          </w:p>
        </w:tc>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841"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15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74</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自助报到迎新管理</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5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迎新服务网</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5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76</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移动迎新</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5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77</w:t>
            </w:r>
          </w:p>
        </w:tc>
        <w:tc>
          <w:tcPr>
            <w:tcW w:w="11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1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定制化开发服务</w:t>
            </w: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84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5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trPr>
        <w:tc>
          <w:tcPr>
            <w:tcW w:w="8537"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合计约：</w:t>
            </w:r>
          </w:p>
        </w:tc>
        <w:tc>
          <w:tcPr>
            <w:tcW w:w="11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default" w:ascii="宋体" w:hAnsi="宋体" w:eastAsia="宋体" w:cs="宋体"/>
                <w:b/>
                <w:bCs/>
                <w:i w:val="0"/>
                <w:iCs w:val="0"/>
                <w:color w:val="000000"/>
                <w:sz w:val="28"/>
                <w:szCs w:val="28"/>
                <w:u w:val="none"/>
                <w:lang w:val="en-US"/>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8537" w:type="dxa"/>
            <w:gridSpan w:val="7"/>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总计约:</w:t>
            </w:r>
          </w:p>
        </w:tc>
        <w:tc>
          <w:tcPr>
            <w:tcW w:w="1163" w:type="dxa"/>
            <w:gridSpan w:val="2"/>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b/>
                <w:bCs/>
                <w:i w:val="0"/>
                <w:iCs w:val="0"/>
                <w:color w:val="000000"/>
                <w:sz w:val="32"/>
                <w:szCs w:val="32"/>
                <w:u w:val="none"/>
                <w:lang w:val="en-US"/>
              </w:rPr>
            </w:pPr>
          </w:p>
        </w:tc>
        <w:tc>
          <w:tcPr>
            <w:tcW w:w="517" w:type="dxa"/>
            <w:tcBorders>
              <w:top w:val="nil"/>
              <w:left w:val="nil"/>
              <w:bottom w:val="nil"/>
              <w:right w:val="nil"/>
            </w:tcBorders>
            <w:shd w:val="clear" w:color="auto" w:fill="auto"/>
            <w:vAlign w:val="center"/>
          </w:tcPr>
          <w:p>
            <w:pPr>
              <w:jc w:val="left"/>
              <w:rPr>
                <w:rFonts w:hint="eastAsia" w:ascii="宋体" w:hAnsi="宋体" w:eastAsia="宋体" w:cs="宋体"/>
                <w:b/>
                <w:bCs/>
                <w:i w:val="0"/>
                <w:iCs w:val="0"/>
                <w:color w:val="000000"/>
                <w:sz w:val="22"/>
                <w:szCs w:val="22"/>
                <w:u w:val="none"/>
              </w:rPr>
            </w:pPr>
          </w:p>
        </w:tc>
      </w:tr>
    </w:tbl>
    <w:p>
      <w:pPr>
        <w:numPr>
          <w:ilvl w:val="0"/>
          <w:numId w:val="0"/>
        </w:numPr>
        <w:rPr>
          <w:rFonts w:hint="default"/>
          <w:lang w:val="en-US" w:eastAsia="zh-CN"/>
        </w:rPr>
      </w:pPr>
    </w:p>
    <w:p>
      <w:pPr>
        <w:pStyle w:val="2"/>
        <w:pageBreakBefore w:val="0"/>
        <w:numPr>
          <w:ilvl w:val="0"/>
          <w:numId w:val="2"/>
        </w:numPr>
        <w:kinsoku/>
        <w:wordWrap/>
        <w:overflowPunct/>
        <w:topLinePunct w:val="0"/>
        <w:autoSpaceDE/>
        <w:autoSpaceDN/>
        <w:bidi w:val="0"/>
        <w:adjustRightInd/>
        <w:snapToGrid/>
        <w:spacing w:before="313" w:beforeLines="100" w:after="313" w:afterLines="100"/>
        <w:ind w:left="0" w:leftChars="0" w:firstLine="0" w:firstLineChars="0"/>
        <w:jc w:val="left"/>
        <w:textAlignment w:val="auto"/>
        <w:rPr>
          <w:rFonts w:hint="eastAsia" w:ascii="华文中宋" w:hAnsi="华文中宋" w:eastAsia="华文中宋" w:cs="华文中宋"/>
          <w:sz w:val="32"/>
          <w:szCs w:val="32"/>
          <w:lang w:val="en-US" w:eastAsia="zh-CN"/>
        </w:rPr>
      </w:pPr>
      <w:bookmarkStart w:id="0" w:name="_Toc1837"/>
      <w:r>
        <w:rPr>
          <w:rFonts w:hint="eastAsia" w:ascii="华文中宋" w:hAnsi="华文中宋" w:eastAsia="华文中宋" w:cs="华文中宋"/>
          <w:sz w:val="32"/>
          <w:szCs w:val="32"/>
          <w:lang w:val="en-US" w:eastAsia="zh-CN"/>
        </w:rPr>
        <w:t>智慧</w:t>
      </w:r>
      <w:bookmarkEnd w:id="0"/>
      <w:r>
        <w:rPr>
          <w:rFonts w:hint="eastAsia" w:ascii="华文中宋" w:hAnsi="华文中宋" w:eastAsia="华文中宋" w:cs="华文中宋"/>
          <w:sz w:val="32"/>
          <w:szCs w:val="32"/>
          <w:lang w:val="en-US" w:eastAsia="zh-CN"/>
        </w:rPr>
        <w:t>校园网络安全运维服务</w:t>
      </w:r>
    </w:p>
    <w:tbl>
      <w:tblPr>
        <w:tblStyle w:val="3"/>
        <w:tblW w:w="99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21"/>
        <w:gridCol w:w="1722"/>
        <w:gridCol w:w="5007"/>
        <w:gridCol w:w="1382"/>
        <w:gridCol w:w="104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0" w:hRule="atLeast"/>
        </w:trPr>
        <w:tc>
          <w:tcPr>
            <w:tcW w:w="997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2"/>
                <w:szCs w:val="32"/>
                <w:u w:val="none"/>
                <w:lang w:val="en-US" w:eastAsia="zh-CN" w:bidi="ar"/>
              </w:rPr>
              <w:t>智慧校园网络安全运维服务清单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0" w:hRule="atLeast"/>
        </w:trPr>
        <w:tc>
          <w:tcPr>
            <w:tcW w:w="822"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序号</w:t>
            </w:r>
          </w:p>
        </w:tc>
        <w:tc>
          <w:tcPr>
            <w:tcW w:w="1722"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服务名称</w:t>
            </w:r>
          </w:p>
        </w:tc>
        <w:tc>
          <w:tcPr>
            <w:tcW w:w="5008"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运维服务标准</w:t>
            </w:r>
          </w:p>
        </w:tc>
        <w:tc>
          <w:tcPr>
            <w:tcW w:w="1382"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价格（万）</w:t>
            </w:r>
          </w:p>
        </w:tc>
        <w:tc>
          <w:tcPr>
            <w:tcW w:w="1043"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1" w:hRule="atLeast"/>
        </w:trPr>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w:t>
            </w:r>
          </w:p>
        </w:tc>
        <w:tc>
          <w:tcPr>
            <w:tcW w:w="1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数据库审计服务</w:t>
            </w:r>
          </w:p>
        </w:tc>
        <w:tc>
          <w:tcPr>
            <w:tcW w:w="5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此项服务参数：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1、提供不低于2U设备,内存≥32G，机械硬盘≥2T，千兆电口≥6个，千兆光口≥4个,冗余电源,≥2个扩展槽位,吞吐：≥2Gbps 可审计流量：≥800Mbps 峰值SQL处理能力：≥20000条/s，日处理能力：≥1800万条；默认含应用规则库（免费），默认含1年攻击检测规则库、僵尸主机规则库升级许可,默认一个Agent授权；最高支持15个Agent授权。</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2、提供数据库请求和返回的双向审计服务，特别是SQL返回结果集、SQL语句响应时间、连接时长、表影响的字段、影响行数等内容。</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3、提供攻击检测服务，支持对扫描探测、暴力破解、后门控制、溢出攻击、注入攻击等攻击行为检测告警，并且支持自定义攻击规则。</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4、提供僵尸主机检测服务，支持对僵尸网络、木马控制、蠕虫、挖矿、勒索等僵尸主机行为检测告警。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5、提供会话回访服务，支持0.5倍速、1倍速、1.5倍速、2倍速、4倍速五级播放速度调节。（提供证明材料并加盖厂商公章）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6、提供SQL效率分析服务，以饼图展示正常SQL与慢SQL占比情况、TOP10慢SQL的详细分析：TOP排名信息、事件ID、数据库名、目的ip、协议类型、源ip、sql响应时间、操作类型、具体sql语句等要素  。（提供证明材料并加盖厂商公章）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7、提供联动阻断服务，通过与防火墙联动进行威胁阻断。</w:t>
            </w:r>
          </w:p>
        </w:tc>
        <w:tc>
          <w:tcPr>
            <w:tcW w:w="13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2"/>
                <w:szCs w:val="22"/>
                <w:u w:val="none"/>
              </w:rPr>
            </w:pPr>
          </w:p>
        </w:tc>
        <w:tc>
          <w:tcPr>
            <w:tcW w:w="104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10" w:hRule="atLeast"/>
        </w:trPr>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2</w:t>
            </w:r>
          </w:p>
        </w:tc>
        <w:tc>
          <w:tcPr>
            <w:tcW w:w="1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日志审计服务</w:t>
            </w:r>
          </w:p>
        </w:tc>
        <w:tc>
          <w:tcPr>
            <w:tcW w:w="5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此项服务参数：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1、提供不低于2U设备,千兆电口≥6个，千兆光口插槽≥4个,冗余电源,扩展槽位≥2个,内存≥32G，系统盘≥256G SSD ，数据盘≥6T，自带液晶屏，日志采集处理速度≥10000EPS，包含100个日志源授权。支持授权扩容，最大支持150点。</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2、提供数据展示服务，以全国地图、全球地图展示最近24小时日志访问源和访问目的的分布，能根据颜色区分访问来源和访问目的数据量大小，能够通过首页地图快速下钻查询指定区域的日志详细信息。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3、提供告警管理服务，基于时间轴展示告警数据分布，能够通过时间轴进行查询分析；（提供证明材料并加盖厂商公章）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4、提供日志源管理服务，通过对重点日志源的关注设置，并可通过关注列表快速查看重点日志源的状态、当日日志量、采集日志总量、最近接收时间、业务组等基础信息；（提供证明材料并加盖厂商公章）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5、提供数据存储服务，可根据设备重要程度设置独立设置每个被采集源的日志、报表数据存储时间为1个月、3个月、6个月和永久保存等参数；（提供证明材料并加盖厂商公章）</w:t>
            </w:r>
          </w:p>
        </w:tc>
        <w:tc>
          <w:tcPr>
            <w:tcW w:w="13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2"/>
                <w:szCs w:val="22"/>
                <w:u w:val="none"/>
              </w:rPr>
            </w:pPr>
          </w:p>
        </w:tc>
        <w:tc>
          <w:tcPr>
            <w:tcW w:w="10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0" w:hRule="atLeast"/>
        </w:trPr>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3</w:t>
            </w:r>
          </w:p>
        </w:tc>
        <w:tc>
          <w:tcPr>
            <w:tcW w:w="1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数据安全治理服务</w:t>
            </w:r>
          </w:p>
        </w:tc>
        <w:tc>
          <w:tcPr>
            <w:tcW w:w="5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Style w:val="5"/>
                <w:rFonts w:hint="eastAsia" w:ascii="宋体" w:hAnsi="宋体" w:eastAsia="宋体" w:cs="宋体"/>
                <w:sz w:val="22"/>
                <w:szCs w:val="22"/>
                <w:lang w:val="en-US" w:eastAsia="zh-CN" w:bidi="ar"/>
              </w:rPr>
              <w:t xml:space="preserve">服务内容较多详见 </w:t>
            </w:r>
            <w:r>
              <w:rPr>
                <w:rStyle w:val="6"/>
                <w:rFonts w:hint="eastAsia" w:ascii="宋体" w:hAnsi="宋体" w:eastAsia="宋体" w:cs="宋体"/>
                <w:sz w:val="22"/>
                <w:szCs w:val="22"/>
                <w:lang w:val="en-US" w:eastAsia="zh-CN" w:bidi="ar"/>
              </w:rPr>
              <w:t>附件一 表格</w:t>
            </w:r>
          </w:p>
        </w:tc>
        <w:tc>
          <w:tcPr>
            <w:tcW w:w="13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2"/>
                <w:szCs w:val="22"/>
                <w:u w:val="none"/>
              </w:rPr>
            </w:pPr>
          </w:p>
        </w:tc>
        <w:tc>
          <w:tcPr>
            <w:tcW w:w="10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55" w:hRule="atLeast"/>
        </w:trPr>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4</w:t>
            </w:r>
          </w:p>
        </w:tc>
        <w:tc>
          <w:tcPr>
            <w:tcW w:w="1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上网行为管理服务</w:t>
            </w:r>
          </w:p>
        </w:tc>
        <w:tc>
          <w:tcPr>
            <w:tcW w:w="5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此项服务参数：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1、提供不低于2U设备, 千兆电口 ≥6个， 千兆光口插槽≥4个，万兆接口≥2个，支持1对电口Bypass,冗余电源,≥2个扩展槽位,建议适配带宽：≥6G， 网络吞吐：≥15G， 最大并发连接数&gt;800万, 推荐用户数：≥15000人 硬盘存储：≥1T, 设备内存：≥32G；包含应用识别功能，含3年的系统版本，URL库及应用特征库升级许可。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2、提供翻墙管控服务，通过识别翻墙软件流量特征，对翻墙软件进行审计和管控，从而实现审计和管控上网用户的翻墙行为，内置翻墙软件特征支持30种以上。（提供证明材料并加盖厂商公章）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3、提供智能带宽服务，可根据预设总带宽，实时智能识别策略匹配上线用户，并依照预设总带宽将流量对匹配用户进行智能平均分配。（提供证明材料并加盖厂商公章）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提供校园贷分析服务，针对学生平时上网行为按URL地址和App应用特征进行分类识别，从学生上网访问网页内容和搜索热词的关键字进行识别，通过对学生涉及网贷行为以及相关网银操作频次等相关性分析，划分出涉及网贷高危群体和潜在风险群体。（提供证明材料并加盖厂商公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热点事件分析服务，针对学生平时上网过程中的浏览内容、网页标题、搜索关键词热词等内容进行匹配识别，了解学生对热点事件的关注和舆论倾向。结合学生关注热点，有针对性的进行舆情分析和舆论导向的正向引导。（提供证明材料并加盖厂商公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6、提供失陷主机监测服务，支持检测网络中的失陷主机，并依据风险程度，区分出高风险主机和潜在风险主机。（提供证明材料并加盖厂商公章）</w:t>
            </w:r>
          </w:p>
        </w:tc>
        <w:tc>
          <w:tcPr>
            <w:tcW w:w="1382" w:type="dxa"/>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b/>
                <w:bCs/>
                <w:i w:val="0"/>
                <w:iCs w:val="0"/>
                <w:color w:val="000000"/>
                <w:sz w:val="22"/>
                <w:szCs w:val="22"/>
                <w:u w:val="none"/>
              </w:rPr>
            </w:pPr>
          </w:p>
        </w:tc>
        <w:tc>
          <w:tcPr>
            <w:tcW w:w="10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10" w:hRule="atLeast"/>
        </w:trPr>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5</w:t>
            </w:r>
          </w:p>
        </w:tc>
        <w:tc>
          <w:tcPr>
            <w:tcW w:w="1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防火墙运维服务</w:t>
            </w:r>
          </w:p>
        </w:tc>
        <w:tc>
          <w:tcPr>
            <w:tcW w:w="5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此项服务参数：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提供不低于2U设备,,内存≥32G，机械硬盘≥4T，千兆电口≥16个，千兆光插槽≥2个，万兆光插槽≥4个,冗余电源,扩展槽位≥2个,防火墙吞吐≥60G，并发连接≥1600万，每秒新建连接≥18万，应用层吞吐量≥28G，FW+IPS吞吐量≥6G，FW+AV吞吐量≥6G，FW+WAF吞吐量≥4G，全威胁吞吐量≥6G，IPSEC VPN吞吐≥2G，IPSEC VPN隧道数2500。默认包含应用识别功能，含1年应用特征库升级许可；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提供信息防泄漏服务，支持HTTP、FTP、POP3、SMTP等协议，可对预置身份证号、护照号、银行卡号、手机号等敏感信息和自定义关键字进行过滤，可对FTP命令和邮件标题、正文、附件、收发件人进行过滤；（提供证明材料并加盖厂商公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提供DNS安全服务，提供独立的DNS安全模块，对用户端进行DNS报文检查、DGA检测、DNS反射放大检测，可对服务端进行DNS报文检查、NX防御，DNS安全模块能自动生成动态非法地址表和动态非法域名表；（提供证明材料并加盖厂商公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提供数据库防护服务，能根据用户名、数据库名、表名、列名、客户端工具名称、结果集、关键字字段对数据库报文进行控制；能够通过自学习掌握当前网络环境中数据库行为的特点，并根据自学习记录生成访问控制策略；（提供证明材料并加盖厂商公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提供联动服务能力，支持与漏扫、EDR、数据库审计设备联动，并提供信息产业信息安全测评中心、公安部信息安全产品检测中心、国家版权局、中国软件评测中心之中任意一家机构出具的相关证书或测试报告；</w:t>
            </w:r>
          </w:p>
        </w:tc>
        <w:tc>
          <w:tcPr>
            <w:tcW w:w="13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2"/>
                <w:szCs w:val="22"/>
                <w:u w:val="none"/>
              </w:rPr>
            </w:pPr>
          </w:p>
        </w:tc>
        <w:tc>
          <w:tcPr>
            <w:tcW w:w="104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75" w:hRule="atLeast"/>
        </w:trPr>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6</w:t>
            </w:r>
          </w:p>
        </w:tc>
        <w:tc>
          <w:tcPr>
            <w:tcW w:w="1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漏洞扫描运维服务</w:t>
            </w:r>
          </w:p>
        </w:tc>
        <w:tc>
          <w:tcPr>
            <w:tcW w:w="5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此项服务参数：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1、提供1U设备,千兆电口≥8个，千兆光口插槽≥4个，内存≥16G，硬盘≥4TB SATA，,冗余电源,扩展槽位≥2个,IP扫描授权数无限制，并发扫描≥80个IP地址，并发扫描≥5个系统扫描任务，Web域名扫描授权数≥55个，并发扫描≥3个Web扫描任务，支持分布式部署。含3年规则库升级许可。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提供全面展示风险分布服务，包括资产风险值趋势、高修复优先级漏洞数量趋势、操作系统分类Top5、应用漏洞Top10、主机漏洞风险分布、站点风险值趋势、站点漏洞分布趋势、站点服务分布Top5、站点风险分布等。（提供证明材料并加盖厂商公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3、提供大数据组件的扫描服务，支持扫描大数据组件的安全漏洞，如Spark、Splunk、Kafka、Storm、Cassandra、Ambari、Impala、Solr、Oozie、Hbase、Hadoop等，可扫描漏洞数量大于400条。（提供证明材料并加盖厂商公章）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4、提供API扫描服务，通过API扫描补充扫描链接，支持上传csv、wsdl等格式的文件进行扫描。（提供证明材料并加盖厂商公章）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5、提供防火墙联动能力，防火墙可根据漏扫提供的资产信息对重要资产信息进行防护，根据漏洞信息自动生成防护规则，保护内网安全；（提供证明材料并加盖厂商公章）</w:t>
            </w:r>
          </w:p>
        </w:tc>
        <w:tc>
          <w:tcPr>
            <w:tcW w:w="13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2"/>
                <w:szCs w:val="22"/>
                <w:u w:val="none"/>
              </w:rPr>
            </w:pPr>
          </w:p>
        </w:tc>
        <w:tc>
          <w:tcPr>
            <w:tcW w:w="10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75" w:hRule="atLeast"/>
        </w:trPr>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7</w:t>
            </w:r>
          </w:p>
        </w:tc>
        <w:tc>
          <w:tcPr>
            <w:tcW w:w="1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态势感知运维服务</w:t>
            </w:r>
          </w:p>
        </w:tc>
        <w:tc>
          <w:tcPr>
            <w:tcW w:w="5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此项服务参数：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1、提供不低于2U设备, ,≥6个千兆电口，≥2个万兆光口,冗余电源,存储≥240SSD+32TB，内存≥128G ，态势感知标准版，软硬一体，提供态势分析、安全监测、安全处置、资产管理、知识情报等功能模块。含5个探针接入。</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提供漏洞态势服务，通过查看漏洞概况、漏洞影响安全域数量、漏洞影响资产数量、漏洞影响业务系统数量、漏洞安全域漏洞排行、影响业务系统漏洞排行、影响资产漏洞排行、漏洞类型分布、漏洞级别对比、漏洞发现趋势等漏洞信息展示。（提供证明截图并加盖厂商公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提供大屏展示服务，通过拖拽方式自定义大屏界面展示顺序，支持多种地图、拓扑展示方式，包括但不限于世界、全国、省份、拓扑、实时数据、历史数据等，支持logo、大屏超时设置、介绍文案。（提供证明截图并加盖厂商公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4、提供工单管理服务，通过指派相关责任人进行处理，支持对工单进行分组管理，分组类型包括我的工单、待处置工单、已处置工单、历史工单；（提供证明截图并加盖厂商公章）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5、提供漏洞监测服务，通过联动漏扫设备、手动导入漏扫报告两种方式实现漏洞数据采集，支持同品牌及第三方漏扫设备联动，支持excel、zip等类型的漏扫报告导入。（提供证明截图并加盖厂商公章）</w:t>
            </w:r>
          </w:p>
        </w:tc>
        <w:tc>
          <w:tcPr>
            <w:tcW w:w="13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2"/>
                <w:szCs w:val="22"/>
                <w:u w:val="none"/>
              </w:rPr>
            </w:pPr>
          </w:p>
        </w:tc>
        <w:tc>
          <w:tcPr>
            <w:tcW w:w="10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0" w:hRule="atLeast"/>
        </w:trPr>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8</w:t>
            </w:r>
          </w:p>
        </w:tc>
        <w:tc>
          <w:tcPr>
            <w:tcW w:w="1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探针运维服务</w:t>
            </w:r>
          </w:p>
        </w:tc>
        <w:tc>
          <w:tcPr>
            <w:tcW w:w="5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此项服务参数：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1、提供不低于2U设备, ,内存≥32G,机械硬盘≥1TB,千兆电口≥6个,千兆光口插槽≥4个,冗余电源,扩展槽位≥2个,整机吞吐率：≥8Gbps,最大并发连接数：≥180万,IDS吞吐率：≥3.5Gbps；含：3年攻击检测规则库、应用识别库、地理信息库升级许可；3年僵尸主机规则库升级许可；可扩展恶意程序检测功能许可,元数据提取功能许可,URL分类库升级许可,威胁情报库升级许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提供攻击检测服务，支持独立的攻击检测引擎，涵盖13000种以上的攻击检测规则库。规则库支持按照攻击类型、操作系统、风险等级、应用类型、流行程度、ATT&amp;CK、攻击阶段等方式进行分类。（提供证明截图并加盖厂商公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提供僵尸主机检测服务，支持独立的僵尸主机检测引擎，涵盖11000种以上的僵尸主机规则库。规则库支持按照攻击类型、操作系统、风险等级、ATT&amp;CK、攻击阶段等方式进行分类。（提供证明截图并加盖厂商公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4、提供异常流量检测服务，提供DGA恶意域名检测，采用DGA恶意域名检测智慧引擎检测。（提供证明截图并加盖厂商公章）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提供WEB安全检测服务，支持注入和WEBSHELL攻击检测，包括：SQL语法分析引擎检测、SQL注入智慧引擎检测、XSS攻击智慧引擎检测、命令注入智慧引擎检测、WEBSHELL上传智慧引擎检测、WEBSHELL行为检测。（提供证明截图并加盖厂商公章）</w:t>
            </w:r>
          </w:p>
        </w:tc>
        <w:tc>
          <w:tcPr>
            <w:tcW w:w="13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2"/>
                <w:szCs w:val="22"/>
                <w:u w:val="none"/>
              </w:rPr>
            </w:pPr>
          </w:p>
        </w:tc>
        <w:tc>
          <w:tcPr>
            <w:tcW w:w="10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5" w:hRule="atLeast"/>
        </w:trPr>
        <w:tc>
          <w:tcPr>
            <w:tcW w:w="8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9</w:t>
            </w:r>
          </w:p>
        </w:tc>
        <w:tc>
          <w:tcPr>
            <w:tcW w:w="17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天融信终端威胁防御系统V1 TopEDR运维服务</w:t>
            </w:r>
          </w:p>
        </w:tc>
        <w:tc>
          <w:tcPr>
            <w:tcW w:w="5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此项服务参数：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1、15个WindowsServer客户端防病毒功能授权，含3年升级许可。针对服务器操作系统进行病毒查杀，提供主动防御系统防护等功能。系统默认支持WindowsServer。</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默认包含3年病毒库升级服务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提供全网安全态势展示服务，全网安全态势展示，统计运行概况及客户端概况，包括终端信息、使用授权信息、待处理威胁、当日防护、全网风险趋势、威胁终端排行、病毒风险排行、安全事件、服务器信息等统计情况，点击统计数据可跳转查看详细信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提供安全防护策略服务，支持定制安全防护策略：包括病毒防御（病毒查杀、文件实时监控、恶意行为监控、U盘保护、下载保护、邮件监控、白名单）；系统防御（浏览器保护、软件安装拦截、系统加固）；网络防御（黑客入侵拦截、IP协议控制、恶意网站拦截、IP黑名单）；合规管控（文档检测、文档跟踪、USB存储、设备监控、进程监控、软件监控、服务监控、账号监控、外联监控）；其他设置（心跳配置、管理员配置、升级配置、补丁配置、弹窗配置、通信管理中心）。（提供证明截图并加盖厂商公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4、提供Webshell检测服务，支持对webshell后门进行扫描检测 , webshell后门规则数量大于100000。（提供证明截图并加盖厂商公章）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5、提供系统加固服务，支持系统加固，从系统文件保护、病毒免疫、进程保护、注册表保护、危险动作拦截、执行防护等多个维度对系统进行防护。（提供证明截图并加盖厂商公章）</w:t>
            </w:r>
          </w:p>
        </w:tc>
        <w:tc>
          <w:tcPr>
            <w:tcW w:w="13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2"/>
                <w:szCs w:val="22"/>
                <w:u w:val="none"/>
              </w:rPr>
            </w:pPr>
          </w:p>
        </w:tc>
        <w:tc>
          <w:tcPr>
            <w:tcW w:w="10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0" w:hRule="atLeast"/>
        </w:trPr>
        <w:tc>
          <w:tcPr>
            <w:tcW w:w="8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1"/>
                <w:szCs w:val="21"/>
                <w:u w:val="none"/>
              </w:rPr>
            </w:pPr>
          </w:p>
        </w:tc>
        <w:tc>
          <w:tcPr>
            <w:tcW w:w="17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5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此项服务参数：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1、35个LinuxServer客户端防病毒功能授权，含3年升级服务。 针对服务器操作系统进行病毒查杀，提供主动防御系统防护等功能。系统默认支持LinuxServer，含三年升级服务。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提供全网安全态势展示服务，全网安全态势展示，统计运行概况及客户端概况，包括终端信息、使用授权信息、待处理威胁、当日防护、全网风险趋势、威胁终端排行、病毒风险排行、安全事件、服务器信息等统计情况，点击统计数据可跳转查看详细信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提供安全防护策略服务，支持定制安全防护策略：包括病毒防御（病毒查杀、文件实时监控、恶意行为监控、U盘保护、下载保护、邮件监控、白名单）；系统防御（浏览器保护、软件安装拦截、系统加固）；网络防御（黑客入侵拦截、IP协议控制、恶意网站拦截、IP黑名单）；合规管控（文档检测、文档跟踪、USB存储、设备监控、进程监控、软件监控、服务监控、账号监控、外联监控）；其他设置（心跳配置、管理员配置、升级配置、补丁配置、弹窗配置、通信管理中心）。（提供证明截图并加盖厂商公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4、提供Webshell检测服务，支持对webshell后门进行扫描检测 , webshell后门规则数量大于100000。（提供证明截图并加盖厂商公章）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5、提供系统加固服务，支持系统加固，从系统文件保护、病毒免疫、进程保护、注册表保护、危险动作拦截、执行防护等多个维度对系统进行防护。（提供证明截图并加盖厂商公章）</w:t>
            </w:r>
          </w:p>
        </w:tc>
        <w:tc>
          <w:tcPr>
            <w:tcW w:w="13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2"/>
                <w:szCs w:val="22"/>
                <w:u w:val="none"/>
              </w:rPr>
            </w:pPr>
          </w:p>
        </w:tc>
        <w:tc>
          <w:tcPr>
            <w:tcW w:w="10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0" w:hRule="atLeast"/>
        </w:trPr>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auto"/>
                <w:sz w:val="21"/>
                <w:szCs w:val="21"/>
                <w:u w:val="none"/>
              </w:rPr>
            </w:pPr>
            <w:r>
              <w:rPr>
                <w:rFonts w:hint="eastAsia" w:ascii="微软雅黑" w:hAnsi="微软雅黑" w:eastAsia="微软雅黑" w:cs="微软雅黑"/>
                <w:i w:val="0"/>
                <w:iCs w:val="0"/>
                <w:color w:val="auto"/>
                <w:kern w:val="0"/>
                <w:sz w:val="21"/>
                <w:szCs w:val="21"/>
                <w:u w:val="none"/>
                <w:lang w:val="en-US" w:eastAsia="zh-CN" w:bidi="ar"/>
              </w:rPr>
              <w:t>10</w:t>
            </w:r>
          </w:p>
        </w:tc>
        <w:tc>
          <w:tcPr>
            <w:tcW w:w="1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驻场运营服务</w:t>
            </w:r>
          </w:p>
        </w:tc>
        <w:tc>
          <w:tcPr>
            <w:tcW w:w="5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提供不少于1人具有CISP证书的驻场安全运营人员，驻场安全运营服务时间不低于6个月。</w:t>
            </w:r>
          </w:p>
        </w:tc>
        <w:tc>
          <w:tcPr>
            <w:tcW w:w="13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FF0000"/>
                <w:sz w:val="22"/>
                <w:szCs w:val="22"/>
                <w:u w:val="none"/>
              </w:rPr>
            </w:pPr>
          </w:p>
        </w:tc>
        <w:tc>
          <w:tcPr>
            <w:tcW w:w="1043"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0" w:hRule="atLeast"/>
        </w:trPr>
        <w:tc>
          <w:tcPr>
            <w:tcW w:w="822" w:type="dxa"/>
            <w:tcBorders>
              <w:top w:val="nil"/>
              <w:left w:val="nil"/>
              <w:bottom w:val="nil"/>
              <w:right w:val="nil"/>
            </w:tcBorders>
            <w:shd w:val="clear" w:color="auto" w:fill="auto"/>
            <w:vAlign w:val="center"/>
          </w:tcPr>
          <w:p>
            <w:pPr>
              <w:jc w:val="center"/>
              <w:rPr>
                <w:rFonts w:hint="eastAsia" w:ascii="等线" w:hAnsi="等线" w:eastAsia="等线" w:cs="等线"/>
                <w:i w:val="0"/>
                <w:iCs w:val="0"/>
                <w:color w:val="000000"/>
                <w:sz w:val="22"/>
                <w:szCs w:val="22"/>
                <w:u w:val="none"/>
              </w:rPr>
            </w:pPr>
          </w:p>
        </w:tc>
        <w:tc>
          <w:tcPr>
            <w:tcW w:w="1722" w:type="dxa"/>
            <w:tcBorders>
              <w:top w:val="nil"/>
              <w:left w:val="nil"/>
              <w:bottom w:val="nil"/>
              <w:right w:val="nil"/>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5008" w:type="dxa"/>
            <w:tcBorders>
              <w:top w:val="nil"/>
              <w:left w:val="nil"/>
              <w:bottom w:val="nil"/>
              <w:right w:val="nil"/>
            </w:tcBorders>
            <w:shd w:val="clear" w:color="auto" w:fill="auto"/>
            <w:vAlign w:val="center"/>
          </w:tcPr>
          <w:p>
            <w:pPr>
              <w:jc w:val="center"/>
              <w:rPr>
                <w:rFonts w:hint="eastAsia" w:ascii="宋体" w:hAnsi="宋体" w:eastAsia="宋体" w:cs="宋体"/>
                <w:b/>
                <w:bCs/>
                <w:i w:val="0"/>
                <w:iCs w:val="0"/>
                <w:color w:val="000000"/>
                <w:sz w:val="28"/>
                <w:szCs w:val="28"/>
                <w:u w:val="none"/>
                <w:lang w:val="en-US" w:eastAsia="zh-CN"/>
              </w:rPr>
            </w:pPr>
            <w:r>
              <w:rPr>
                <w:rFonts w:hint="eastAsia" w:ascii="宋体" w:hAnsi="宋体" w:eastAsia="宋体" w:cs="宋体"/>
                <w:b/>
                <w:bCs/>
                <w:i w:val="0"/>
                <w:iCs w:val="0"/>
                <w:color w:val="000000"/>
                <w:sz w:val="28"/>
                <w:szCs w:val="28"/>
                <w:u w:val="none"/>
                <w:lang w:val="en-US" w:eastAsia="zh-CN"/>
              </w:rPr>
              <w:t>合计约：</w:t>
            </w:r>
          </w:p>
        </w:tc>
        <w:tc>
          <w:tcPr>
            <w:tcW w:w="1382" w:type="dxa"/>
            <w:tcBorders>
              <w:top w:val="nil"/>
              <w:left w:val="nil"/>
              <w:bottom w:val="nil"/>
              <w:right w:val="nil"/>
            </w:tcBorders>
            <w:shd w:val="clear" w:color="auto" w:fill="auto"/>
            <w:vAlign w:val="center"/>
          </w:tcPr>
          <w:p>
            <w:pPr>
              <w:jc w:val="center"/>
              <w:rPr>
                <w:rFonts w:hint="default" w:ascii="宋体" w:hAnsi="宋体" w:eastAsia="宋体" w:cs="宋体"/>
                <w:b/>
                <w:bCs/>
                <w:i w:val="0"/>
                <w:iCs w:val="0"/>
                <w:color w:val="000000"/>
                <w:sz w:val="28"/>
                <w:szCs w:val="28"/>
                <w:u w:val="none"/>
                <w:lang w:val="en-US" w:eastAsia="zh-CN"/>
              </w:rPr>
            </w:pPr>
          </w:p>
        </w:tc>
        <w:tc>
          <w:tcPr>
            <w:tcW w:w="1043" w:type="dxa"/>
            <w:tcBorders>
              <w:top w:val="nil"/>
              <w:left w:val="nil"/>
              <w:bottom w:val="nil"/>
              <w:right w:val="nil"/>
            </w:tcBorders>
            <w:shd w:val="clear" w:color="auto" w:fill="auto"/>
            <w:vAlign w:val="bottom"/>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254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附件一</w:t>
            </w:r>
          </w:p>
        </w:tc>
        <w:tc>
          <w:tcPr>
            <w:tcW w:w="5008"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2"/>
                <w:szCs w:val="32"/>
                <w:u w:val="none"/>
                <w:lang w:val="en-US" w:eastAsia="zh-CN" w:bidi="ar"/>
              </w:rPr>
              <w:t>数据安全治理服务内容</w:t>
            </w:r>
          </w:p>
        </w:tc>
        <w:tc>
          <w:tcPr>
            <w:tcW w:w="24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 w:hRule="atLeast"/>
        </w:trPr>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科目名称</w:t>
            </w:r>
          </w:p>
        </w:tc>
        <w:tc>
          <w:tcPr>
            <w:tcW w:w="5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服务内容</w:t>
            </w:r>
          </w:p>
        </w:tc>
        <w:tc>
          <w:tcPr>
            <w:tcW w:w="13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产出物清单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5" w:hRule="atLeast"/>
        </w:trPr>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数据安全管理情况调研咨询</w:t>
            </w:r>
          </w:p>
        </w:tc>
        <w:tc>
          <w:tcPr>
            <w:tcW w:w="5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过调研问卷、现场访谈、文档审核等方式，从组织建设、制度流程、业务概况、系统概况、数据概况、安全措施等维度对组织数据安全管理现状、关键业务场景、数据处理活动进行针对性的调研，明确采购人数据安全建设需求，理清采购人数据安全管理的关键问题清单</w:t>
            </w:r>
          </w:p>
        </w:tc>
        <w:tc>
          <w:tcPr>
            <w:tcW w:w="13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单位数据安全现状调研报告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微软雅黑" w:hAnsi="微软雅黑" w:eastAsia="微软雅黑" w:cs="微软雅黑"/>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0" w:hRule="atLeast"/>
        </w:trPr>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单位整体数据安全合规性评估</w:t>
            </w:r>
          </w:p>
        </w:tc>
        <w:tc>
          <w:tcPr>
            <w:tcW w:w="5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过调研问卷、现场访谈、文档审核等方式开展数据安全合规评估，对标《中国电信数据安全合规性评估标准》分析采购人在数据安全建设方面存在的数据安全隐患。根据组织与管理、技术与运营等通用安全要求，以及在数据收集、数据存储、数据使用与加工、数据传输、数据开放、数据归并与销毁等数据全生存周期各环节应实现的数据安全合规要求进行调研分析，输出合规评估报告。</w:t>
            </w:r>
          </w:p>
        </w:tc>
        <w:tc>
          <w:tcPr>
            <w:tcW w:w="13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单位合规性评估报告</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重点业务/核心系统数据安全合规性评估报告</w:t>
            </w:r>
          </w:p>
        </w:tc>
        <w:tc>
          <w:tcPr>
            <w:tcW w:w="5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依据《数据安全合规性评估标准》，针对重点业务或核心系统从制度建设落实情况、全生命周期管理落实情况评估数据安全合规性满足情况，并输出合规评估报告。</w:t>
            </w:r>
          </w:p>
        </w:tc>
        <w:tc>
          <w:tcPr>
            <w:tcW w:w="13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25" w:hRule="atLeast"/>
        </w:trPr>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能力成熟度3级评估</w:t>
            </w:r>
          </w:p>
        </w:tc>
        <w:tc>
          <w:tcPr>
            <w:tcW w:w="5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以数据安全管理情况摸底调研为基础，根据数据安全能力成熟度评估模型 3 级测评要求细化调研清单，结合采购人实际组织架构明确调研对象，通过调研问卷、现场访谈、文档审核等方式，从数据生命周期通用安全、数据收集安全、数据存储安全、数据使用与加工安全、数据传输安全、数据开放安全、数据归并与销毁安全等各阶段开展符合性评估工作，进行差距分析，输出针对数据安全管理能力上需改进的安全域及对应的改进建议。</w:t>
            </w:r>
          </w:p>
        </w:tc>
        <w:tc>
          <w:tcPr>
            <w:tcW w:w="13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单位数据安全能力成熟度评估报告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微软雅黑" w:hAnsi="微软雅黑" w:eastAsia="微软雅黑" w:cs="微软雅黑"/>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结构化数据资产梳理</w:t>
            </w:r>
          </w:p>
        </w:tc>
        <w:tc>
          <w:tcPr>
            <w:tcW w:w="5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协调各部门梳理数据资产分布、数据特性、数据字段量级、库表列含义和字段取值格式和范围，以此为数据分类分级工作提供基础依据。</w:t>
            </w:r>
          </w:p>
        </w:tc>
        <w:tc>
          <w:tcPr>
            <w:tcW w:w="13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单位数据资产清单</w:t>
            </w:r>
          </w:p>
        </w:tc>
        <w:tc>
          <w:tcPr>
            <w:tcW w:w="104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210" w:afterAutospacing="0"/>
              <w:jc w:val="center"/>
              <w:textAlignment w:val="center"/>
              <w:rPr>
                <w:rFonts w:hint="eastAsia" w:ascii="微软雅黑" w:hAnsi="微软雅黑" w:eastAsia="微软雅黑" w:cs="微软雅黑"/>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一个系统的工作报告，多以一个系统另外收费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0" w:hRule="atLeast"/>
        </w:trPr>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结构化数据分类分级规范编制</w:t>
            </w:r>
          </w:p>
        </w:tc>
        <w:tc>
          <w:tcPr>
            <w:tcW w:w="5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编制数据分级分类指南规范文件，明确分类分级管理过程中各方责任、操作过程、原则和方法，形成可持续的分级分类业务指导要求。</w:t>
            </w:r>
          </w:p>
        </w:tc>
        <w:tc>
          <w:tcPr>
            <w:tcW w:w="13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单位数据分类分级指南</w:t>
            </w:r>
          </w:p>
        </w:tc>
        <w:tc>
          <w:tcPr>
            <w:tcW w:w="10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0" w:hRule="atLeast"/>
        </w:trPr>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结构化数据分类分级策略制定</w:t>
            </w:r>
          </w:p>
        </w:tc>
        <w:tc>
          <w:tcPr>
            <w:tcW w:w="5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依据国家标准、地方标准、行业标准，结合实际情况设计数据资产的分类分级策略，指导数据分类分级标记工作的展开。</w:t>
            </w:r>
          </w:p>
        </w:tc>
        <w:tc>
          <w:tcPr>
            <w:tcW w:w="13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数据分类分级策略矩阵</w:t>
            </w:r>
          </w:p>
        </w:tc>
        <w:tc>
          <w:tcPr>
            <w:tcW w:w="10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0" w:hRule="atLeast"/>
        </w:trPr>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结构化数据分类分级标记</w:t>
            </w:r>
          </w:p>
        </w:tc>
        <w:tc>
          <w:tcPr>
            <w:tcW w:w="5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将数据分类分级指导方法进行实践，选取典型系统开展数据安全分级，形成数据安全分级清单。</w:t>
            </w:r>
          </w:p>
        </w:tc>
        <w:tc>
          <w:tcPr>
            <w:tcW w:w="13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单位数据分类分级清单</w:t>
            </w:r>
          </w:p>
        </w:tc>
        <w:tc>
          <w:tcPr>
            <w:tcW w:w="10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0" w:hRule="atLeast"/>
        </w:trPr>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文件类型梳理</w:t>
            </w:r>
          </w:p>
        </w:tc>
        <w:tc>
          <w:tcPr>
            <w:tcW w:w="5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配合采购人梳理当前文件类别、文件类型和文件量级，形成文件类型清单，用于指导文件分类分级方案和策略的制定。</w:t>
            </w:r>
          </w:p>
        </w:tc>
        <w:tc>
          <w:tcPr>
            <w:tcW w:w="13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单位数据资产清单【同5】</w:t>
            </w:r>
          </w:p>
        </w:tc>
        <w:tc>
          <w:tcPr>
            <w:tcW w:w="10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0" w:hRule="atLeast"/>
        </w:trPr>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文件分类分级规范编制</w:t>
            </w:r>
          </w:p>
        </w:tc>
        <w:tc>
          <w:tcPr>
            <w:tcW w:w="5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编制文件分级分类指南规范文件，明确分类分级管理过程中各方责任、操作过程、原则和方法，形成可持续的分级分类业务指导要求。</w:t>
            </w:r>
          </w:p>
        </w:tc>
        <w:tc>
          <w:tcPr>
            <w:tcW w:w="13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单位数据分类分级指南【同6】</w:t>
            </w:r>
          </w:p>
        </w:tc>
        <w:tc>
          <w:tcPr>
            <w:tcW w:w="10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0" w:hRule="atLeast"/>
        </w:trPr>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文件分类分级策略制定</w:t>
            </w:r>
          </w:p>
        </w:tc>
        <w:tc>
          <w:tcPr>
            <w:tcW w:w="5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基于文件类别和文件类型统计结果，落实并设计文件分类分级策略，并将策略固化到分类分级工具。</w:t>
            </w:r>
          </w:p>
        </w:tc>
        <w:tc>
          <w:tcPr>
            <w:tcW w:w="13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数据分类分级策略矩阵【同7】</w:t>
            </w:r>
          </w:p>
        </w:tc>
        <w:tc>
          <w:tcPr>
            <w:tcW w:w="10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0" w:hRule="atLeast"/>
        </w:trPr>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文件分类分级标记</w:t>
            </w:r>
          </w:p>
        </w:tc>
        <w:tc>
          <w:tcPr>
            <w:tcW w:w="5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使用分类分级工具，根据配置的文件分类分级判断策略进行文件的识别和分类分级标记。</w:t>
            </w:r>
          </w:p>
        </w:tc>
        <w:tc>
          <w:tcPr>
            <w:tcW w:w="13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单位数据分类分级清单【同8】</w:t>
            </w:r>
          </w:p>
        </w:tc>
        <w:tc>
          <w:tcPr>
            <w:tcW w:w="10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1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业务系统基本情况梳理</w:t>
            </w:r>
          </w:p>
        </w:tc>
        <w:tc>
          <w:tcPr>
            <w:tcW w:w="5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分析业务流程、业务依赖关系、系统交互过程、数据流转情况等业务系统基本信息，提炼业务场景特性，归纳数据全生命周期处理情况，为全面识别数据安全风险提供依据。</w:t>
            </w:r>
          </w:p>
        </w:tc>
        <w:tc>
          <w:tcPr>
            <w:tcW w:w="13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单位业务场景清单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微软雅黑" w:hAnsi="微软雅黑" w:eastAsia="微软雅黑" w:cs="微软雅黑"/>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0" w:hRule="atLeast"/>
        </w:trPr>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1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数据安全风险评估方案设计</w:t>
            </w:r>
          </w:p>
        </w:tc>
        <w:tc>
          <w:tcPr>
            <w:tcW w:w="5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设计数据安全风险评估方案、方法和流程，最终形成一致的风险计算规则，为采购人构建持续的风险评估机制。</w:t>
            </w:r>
          </w:p>
        </w:tc>
        <w:tc>
          <w:tcPr>
            <w:tcW w:w="13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单位数据安全风险评估指南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微软雅黑" w:hAnsi="微软雅黑" w:eastAsia="微软雅黑" w:cs="微软雅黑"/>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0" w:hRule="atLeast"/>
        </w:trPr>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1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数据安全风险评估实施</w:t>
            </w:r>
          </w:p>
        </w:tc>
        <w:tc>
          <w:tcPr>
            <w:tcW w:w="5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对业务及数据应用过程中的安全风险进行分析及评估，确定主要的数据安全风险。</w:t>
            </w:r>
          </w:p>
        </w:tc>
        <w:tc>
          <w:tcPr>
            <w:tcW w:w="13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单位数据风险评估报告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微软雅黑" w:hAnsi="微软雅黑" w:eastAsia="微软雅黑" w:cs="微软雅黑"/>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25" w:hRule="atLeast"/>
        </w:trPr>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1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数据安全场景保护策略设计</w:t>
            </w:r>
          </w:p>
        </w:tc>
        <w:tc>
          <w:tcPr>
            <w:tcW w:w="5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以数据安全需求及业务应用特点为依据，设计数据安全防护的过程、环节及防护策略，用于指导数据安全技术及管理措施落地。</w:t>
            </w:r>
          </w:p>
        </w:tc>
        <w:tc>
          <w:tcPr>
            <w:tcW w:w="13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单位数据安全终端防护建设方案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单位数据安全网络数据防护建设方案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微软雅黑" w:hAnsi="微软雅黑" w:eastAsia="微软雅黑" w:cs="微软雅黑"/>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0" w:hRule="atLeast"/>
        </w:trPr>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1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数据安全保护技术方案设计</w:t>
            </w:r>
          </w:p>
        </w:tc>
        <w:tc>
          <w:tcPr>
            <w:tcW w:w="5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结合业务系统场景梳理，设计具体的技术防护措施，确定技术路线、实施要求及规范。</w:t>
            </w:r>
          </w:p>
        </w:tc>
        <w:tc>
          <w:tcPr>
            <w:tcW w:w="13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单位技术防护方案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微软雅黑" w:hAnsi="微软雅黑" w:eastAsia="微软雅黑" w:cs="微软雅黑"/>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0" w:hRule="atLeast"/>
        </w:trPr>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数据安全法律法规解读</w:t>
            </w:r>
          </w:p>
        </w:tc>
        <w:tc>
          <w:tcPr>
            <w:tcW w:w="5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针对《数据安全法》、《个人信息保护法》等主要法律法规进行深入解读。</w:t>
            </w:r>
          </w:p>
        </w:tc>
        <w:tc>
          <w:tcPr>
            <w:tcW w:w="13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数据安全法律意识解读汇报材料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微软雅黑" w:hAnsi="微软雅黑" w:eastAsia="微软雅黑" w:cs="微软雅黑"/>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0" w:hRule="atLeast"/>
        </w:trPr>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1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数据安全管理规范单位数据分类分级策略规范宣讲</w:t>
            </w:r>
          </w:p>
        </w:tc>
        <w:tc>
          <w:tcPr>
            <w:tcW w:w="5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针对参与到业务的全体人员进行数据安全管理规范的整体宣讲及解读，促进数据安全管理规范体系的落地。</w:t>
            </w:r>
          </w:p>
        </w:tc>
        <w:tc>
          <w:tcPr>
            <w:tcW w:w="13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数据安全整体建设汇报材料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微软雅黑" w:hAnsi="微软雅黑" w:eastAsia="微软雅黑" w:cs="微软雅黑"/>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0" w:hRule="atLeast"/>
        </w:trPr>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全员数据安全意识教育</w:t>
            </w:r>
          </w:p>
        </w:tc>
        <w:tc>
          <w:tcPr>
            <w:tcW w:w="5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对采购人进行安全意识宣讲，提升整体数据安全意识水平。</w:t>
            </w:r>
          </w:p>
        </w:tc>
        <w:tc>
          <w:tcPr>
            <w:tcW w:w="13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数据安全意识培训记录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微软雅黑" w:hAnsi="微软雅黑" w:eastAsia="微软雅黑" w:cs="微软雅黑"/>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5" w:hRule="atLeast"/>
        </w:trPr>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1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数据安全保护体系框架设计</w:t>
            </w:r>
          </w:p>
        </w:tc>
        <w:tc>
          <w:tcPr>
            <w:tcW w:w="5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基于能力评估得出的需求清单及差距分析，确定数据安全管理的基线要求。基于实际业务需求分析，设计符合业务发展需要的数据安全防护体系框架，明确数据安全管理的过程、环节及关联关系。</w:t>
            </w:r>
          </w:p>
        </w:tc>
        <w:tc>
          <w:tcPr>
            <w:tcW w:w="13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单位数据安全建设方案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微软雅黑" w:hAnsi="微软雅黑" w:eastAsia="微软雅黑" w:cs="微软雅黑"/>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0" w:hRule="atLeast"/>
        </w:trPr>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1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数据安全组织架构设计</w:t>
            </w:r>
          </w:p>
        </w:tc>
        <w:tc>
          <w:tcPr>
            <w:tcW w:w="5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数据安全管理组织架构设计，设计组织数据安全业务相关的各方角色和管理责权关系，设计岗位角色、确定人员能力标准，并定义其主要工作职责</w:t>
            </w:r>
          </w:p>
        </w:tc>
        <w:tc>
          <w:tcPr>
            <w:tcW w:w="13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单位数据安全组织职责与框架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微软雅黑" w:hAnsi="微软雅黑" w:eastAsia="微软雅黑" w:cs="微软雅黑"/>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0" w:hRule="atLeast"/>
        </w:trPr>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1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数据安全制度规范设计</w:t>
            </w:r>
          </w:p>
        </w:tc>
        <w:tc>
          <w:tcPr>
            <w:tcW w:w="5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编制数据安全管理总体要求，明确管理要求、目标及基本原则，用于指导各部门开展数据安全管理工作。落实细化数据安全总体制度要求，编制业务应用的数据安全管理规范，确定数据安全分级方法、数据安全管控流程、数据生命周期安全管理相关规范等等制度文件。</w:t>
            </w:r>
          </w:p>
        </w:tc>
        <w:tc>
          <w:tcPr>
            <w:tcW w:w="13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单位数据安全管理办法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单位数据共享开放指南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单位数据安全应急指南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单位数据分类分级指南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单位数据安全风险评估指南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微软雅黑" w:hAnsi="微软雅黑" w:eastAsia="微软雅黑" w:cs="微软雅黑"/>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1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数据安全治理服务人员要求</w:t>
            </w:r>
          </w:p>
        </w:tc>
        <w:tc>
          <w:tcPr>
            <w:tcW w:w="5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本项目需提供3名数据安全治理人员（1名项目经理，2名数据安全治理工程师）数据安全治理服务时间团队成员驻场服务不低于6个月；项目经理需具有PMP证书和CISP-DSG证书，数据安全治理人员须具有CISP-DSG证书。</w:t>
            </w:r>
          </w:p>
        </w:tc>
        <w:tc>
          <w:tcPr>
            <w:tcW w:w="13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微软雅黑" w:hAnsi="微软雅黑" w:eastAsia="微软雅黑" w:cs="微软雅黑"/>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0" w:hRule="atLeast"/>
        </w:trPr>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1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数据安全治理服务公司要求</w:t>
            </w:r>
          </w:p>
        </w:tc>
        <w:tc>
          <w:tcPr>
            <w:tcW w:w="5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具有中国计算机行业协会数据安全专业委员会&amp;中国软件评测中心颁发的《数据安全评估能力证书》（二级）；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具有中国计算机行业协会数据安全专业委员会&amp;中国软件评测中心办法的《数据安全建设能力证书》（二级）</w:t>
            </w:r>
          </w:p>
        </w:tc>
        <w:tc>
          <w:tcPr>
            <w:tcW w:w="13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可作为加分条件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微软雅黑" w:hAnsi="微软雅黑" w:eastAsia="微软雅黑" w:cs="微软雅黑"/>
                <w:i w:val="0"/>
                <w:iCs w:val="0"/>
                <w:color w:val="000000"/>
                <w:sz w:val="21"/>
                <w:szCs w:val="21"/>
                <w:u w:val="none"/>
              </w:rPr>
            </w:pPr>
          </w:p>
        </w:tc>
      </w:tr>
    </w:tbl>
    <w:p>
      <w:pPr>
        <w:rPr>
          <w:rFonts w:hint="default"/>
          <w:lang w:val="en-US" w:eastAsia="zh-CN"/>
        </w:rPr>
      </w:pPr>
    </w:p>
    <w:p>
      <w:pPr>
        <w:rPr>
          <w:rFonts w:hint="default"/>
          <w:sz w:val="32"/>
          <w:szCs w:val="32"/>
          <w:lang w:val="en-US" w:eastAsia="zh-CN"/>
        </w:rPr>
      </w:pPr>
    </w:p>
    <w:p>
      <w:pPr>
        <w:ind w:firstLine="640" w:firstLineChars="200"/>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以上为本次智慧校园信息化建设项目，具体价格以资产处最终招标为准。</w:t>
      </w:r>
    </w:p>
    <w:p>
      <w:pPr>
        <w:rPr>
          <w:rFonts w:hint="eastAsia" w:ascii="宋体" w:hAnsi="宋体" w:eastAsia="宋体" w:cs="宋体"/>
          <w:sz w:val="28"/>
          <w:szCs w:val="36"/>
          <w:lang w:val="en-US" w:eastAsia="zh-CN"/>
        </w:rPr>
      </w:pPr>
    </w:p>
    <w:p>
      <w:pPr>
        <w:ind w:firstLine="6080" w:firstLineChars="1900"/>
        <w:rPr>
          <w:rFonts w:hint="eastAsia" w:ascii="宋体" w:hAnsi="宋体" w:eastAsia="宋体" w:cs="宋体"/>
          <w:sz w:val="32"/>
          <w:szCs w:val="40"/>
          <w:lang w:val="en-US" w:eastAsia="zh-CN"/>
        </w:rPr>
      </w:pPr>
      <w:r>
        <w:rPr>
          <w:rFonts w:hint="eastAsia" w:ascii="宋体" w:hAnsi="宋体" w:eastAsia="宋体" w:cs="宋体"/>
          <w:sz w:val="32"/>
          <w:szCs w:val="40"/>
          <w:lang w:val="en-US" w:eastAsia="zh-CN"/>
        </w:rPr>
        <w:t>申报部门：信息办</w:t>
      </w:r>
    </w:p>
    <w:p>
      <w:pPr>
        <w:ind w:firstLine="6080" w:firstLineChars="1900"/>
        <w:rPr>
          <w:rFonts w:hint="eastAsia" w:ascii="宋体" w:hAnsi="宋体" w:eastAsia="宋体" w:cs="宋体"/>
          <w:sz w:val="32"/>
          <w:szCs w:val="40"/>
          <w:lang w:val="en-US" w:eastAsia="zh-CN"/>
        </w:rPr>
      </w:pPr>
      <w:bookmarkStart w:id="1" w:name="_GoBack"/>
      <w:bookmarkEnd w:id="1"/>
      <w:r>
        <w:rPr>
          <w:rFonts w:hint="eastAsia" w:ascii="宋体" w:hAnsi="宋体" w:eastAsia="宋体" w:cs="宋体"/>
          <w:sz w:val="32"/>
          <w:szCs w:val="40"/>
          <w:lang w:val="en-US" w:eastAsia="zh-CN"/>
        </w:rPr>
        <w:t>2024年9月28日</w:t>
      </w:r>
    </w:p>
    <w:sectPr>
      <w:pgSz w:w="11906" w:h="16838"/>
      <w:pgMar w:top="1270" w:right="1066" w:bottom="1383" w:left="11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embedRegular r:id="rId1" w:fontKey="{742A896C-84D7-40AC-BE65-13411F6620EE}"/>
  </w:font>
  <w:font w:name="华文中宋">
    <w:panose1 w:val="02010600040101010101"/>
    <w:charset w:val="86"/>
    <w:family w:val="auto"/>
    <w:pitch w:val="default"/>
    <w:sig w:usb0="00000287" w:usb1="080F0000" w:usb2="00000000" w:usb3="00000000" w:csb0="0004009F" w:csb1="DFD70000"/>
    <w:embedRegular r:id="rId2" w:fontKey="{9BBE2BFB-F0A5-41D5-8B5B-AD32B5C4F0AA}"/>
  </w:font>
  <w:font w:name="等线">
    <w:panose1 w:val="02010600030101010101"/>
    <w:charset w:val="86"/>
    <w:family w:val="auto"/>
    <w:pitch w:val="default"/>
    <w:sig w:usb0="A00002BF" w:usb1="38CF7CFA" w:usb2="00000016" w:usb3="00000000" w:csb0="0004000F" w:csb1="00000000"/>
    <w:embedRegular r:id="rId3" w:fontKey="{4487A531-4312-4080-9CDE-572DAC925F3B}"/>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C8828B"/>
    <w:multiLevelType w:val="singleLevel"/>
    <w:tmpl w:val="01C8828B"/>
    <w:lvl w:ilvl="0" w:tentative="0">
      <w:start w:val="1"/>
      <w:numFmt w:val="chineseCounting"/>
      <w:suff w:val="nothing"/>
      <w:lvlText w:val="%1、"/>
      <w:lvlJc w:val="left"/>
      <w:rPr>
        <w:rFonts w:hint="eastAsia"/>
      </w:rPr>
    </w:lvl>
  </w:abstractNum>
  <w:abstractNum w:abstractNumId="1">
    <w:nsid w:val="7AAD9568"/>
    <w:multiLevelType w:val="singleLevel"/>
    <w:tmpl w:val="7AAD9568"/>
    <w:lvl w:ilvl="0" w:tentative="0">
      <w:start w:val="2"/>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U3ODM5MDVmM2RmNmZiZmM3N2YxNzg4OWJhNjgzZWEifQ=="/>
  </w:docVars>
  <w:rsids>
    <w:rsidRoot w:val="0B082EBC"/>
    <w:rsid w:val="00B66ACB"/>
    <w:rsid w:val="02B246DC"/>
    <w:rsid w:val="05411D27"/>
    <w:rsid w:val="098470A4"/>
    <w:rsid w:val="0B082EBC"/>
    <w:rsid w:val="0C0C5B02"/>
    <w:rsid w:val="0C681B81"/>
    <w:rsid w:val="1CB57CA7"/>
    <w:rsid w:val="1D2821E4"/>
    <w:rsid w:val="305E146C"/>
    <w:rsid w:val="532F0AEC"/>
    <w:rsid w:val="584A5BF0"/>
    <w:rsid w:val="60165F88"/>
    <w:rsid w:val="60AE1840"/>
    <w:rsid w:val="69AC4B42"/>
    <w:rsid w:val="6DCE6ECA"/>
    <w:rsid w:val="7DA57A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customStyle="1" w:styleId="5">
    <w:name w:val="font71"/>
    <w:basedOn w:val="4"/>
    <w:qFormat/>
    <w:uiPriority w:val="0"/>
    <w:rPr>
      <w:rFonts w:hint="eastAsia" w:ascii="微软雅黑" w:hAnsi="微软雅黑" w:eastAsia="微软雅黑" w:cs="微软雅黑"/>
      <w:color w:val="000000"/>
      <w:sz w:val="21"/>
      <w:szCs w:val="21"/>
      <w:u w:val="none"/>
    </w:rPr>
  </w:style>
  <w:style w:type="character" w:customStyle="1" w:styleId="6">
    <w:name w:val="font171"/>
    <w:basedOn w:val="4"/>
    <w:qFormat/>
    <w:uiPriority w:val="0"/>
    <w:rPr>
      <w:rFonts w:hint="eastAsia" w:ascii="微软雅黑" w:hAnsi="微软雅黑" w:eastAsia="微软雅黑" w:cs="微软雅黑"/>
      <w:b/>
      <w:bCs/>
      <w:color w:val="000000"/>
      <w:sz w:val="21"/>
      <w:szCs w:val="21"/>
      <w:u w:val="none"/>
    </w:rPr>
  </w:style>
  <w:style w:type="character" w:customStyle="1" w:styleId="7">
    <w:name w:val="font111"/>
    <w:basedOn w:val="4"/>
    <w:qFormat/>
    <w:uiPriority w:val="0"/>
    <w:rPr>
      <w:rFonts w:hint="eastAsia" w:ascii="宋体" w:hAnsi="宋体" w:eastAsia="宋体" w:cs="宋体"/>
      <w:b/>
      <w:bCs/>
      <w:color w:val="000000"/>
      <w:sz w:val="36"/>
      <w:szCs w:val="36"/>
      <w:u w:val="single"/>
    </w:rPr>
  </w:style>
  <w:style w:type="character" w:customStyle="1" w:styleId="8">
    <w:name w:val="font12"/>
    <w:basedOn w:val="4"/>
    <w:qFormat/>
    <w:uiPriority w:val="0"/>
    <w:rPr>
      <w:rFonts w:hint="eastAsia" w:ascii="宋体" w:hAnsi="宋体" w:eastAsia="宋体" w:cs="宋体"/>
      <w:b/>
      <w:bCs/>
      <w:color w:val="000000"/>
      <w:sz w:val="36"/>
      <w:szCs w:val="36"/>
      <w:u w:val="none"/>
    </w:rPr>
  </w:style>
  <w:style w:type="character" w:customStyle="1" w:styleId="9">
    <w:name w:val="font01"/>
    <w:basedOn w:val="4"/>
    <w:qFormat/>
    <w:uiPriority w:val="0"/>
    <w:rPr>
      <w:rFonts w:hint="eastAsia" w:ascii="宋体" w:hAnsi="宋体" w:eastAsia="宋体" w:cs="宋体"/>
      <w:color w:val="000000"/>
      <w:sz w:val="22"/>
      <w:szCs w:val="22"/>
      <w:u w:val="none"/>
    </w:rPr>
  </w:style>
  <w:style w:type="character" w:customStyle="1" w:styleId="10">
    <w:name w:val="font122"/>
    <w:basedOn w:val="4"/>
    <w:qFormat/>
    <w:uiPriority w:val="0"/>
    <w:rPr>
      <w:rFonts w:hint="eastAsia" w:ascii="宋体" w:hAnsi="宋体" w:eastAsia="宋体" w:cs="宋体"/>
      <w:b/>
      <w:bCs/>
      <w:color w:val="000000"/>
      <w:sz w:val="22"/>
      <w:szCs w:val="22"/>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12</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2024-09-26T23:56:00Z</dcterms:created>
  <dc:creator>0603003</dc:creator>
  <cp:lastModifiedBy>1111001</cp:lastModifiedBy>
  <cp:lastPrinted>2024-09-29T03:08:00Z</cp:lastPrinted>
  <dcterms:modified xsi:type="dcterms:W3CDTF">2024-10-11T02:07:47Z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AC421F492FDD4667AEC6D41F4AB1EAF8_13</vt:lpwstr>
  </property>
</Properties>
</file>