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02041">
      <w:pPr>
        <w:pStyle w:val="2"/>
        <w:jc w:val="both"/>
        <w:rPr>
          <w:rFonts w:ascii="黑体" w:hAnsi="黑体"/>
          <w:b w:val="0"/>
          <w:bCs w:val="0"/>
          <w:color w:val="auto"/>
          <w:sz w:val="44"/>
          <w:szCs w:val="44"/>
        </w:rPr>
      </w:pPr>
      <w:r>
        <w:rPr>
          <w:rFonts w:hint="eastAsia" w:ascii="黑体" w:hAnsi="黑体"/>
          <w:b w:val="0"/>
          <w:bCs w:val="0"/>
          <w:color w:val="auto"/>
          <w:sz w:val="44"/>
          <w:szCs w:val="44"/>
          <w:lang w:val="en-US" w:eastAsia="zh-CN"/>
        </w:rPr>
        <w:t>2</w:t>
      </w:r>
      <w:r>
        <w:rPr>
          <w:rFonts w:hint="eastAsia" w:ascii="黑体" w:hAnsi="黑体"/>
          <w:b w:val="0"/>
          <w:bCs w:val="0"/>
          <w:color w:val="auto"/>
          <w:sz w:val="44"/>
          <w:szCs w:val="44"/>
        </w:rPr>
        <w:t>023-2024学年工学院</w:t>
      </w:r>
    </w:p>
    <w:p w14:paraId="1125E77D">
      <w:pPr>
        <w:spacing w:line="360" w:lineRule="auto"/>
        <w:rPr>
          <w:rFonts w:ascii="仿宋_GB2312" w:hAnsi="仿宋_GB2312" w:eastAsia="仿宋_GB2312" w:cs="仿宋_GB2312"/>
          <w:bCs/>
          <w:color w:val="auto"/>
          <w:sz w:val="28"/>
          <w:szCs w:val="28"/>
        </w:rPr>
      </w:pPr>
      <w:r>
        <w:rPr>
          <w:rFonts w:hint="eastAsia" w:ascii="宋体" w:hAnsi="宋体" w:cs="宋体"/>
          <w:bCs/>
          <w:color w:val="auto"/>
          <w:sz w:val="30"/>
          <w:szCs w:val="30"/>
        </w:rPr>
        <w:t>三</w:t>
      </w:r>
      <w:r>
        <w:rPr>
          <w:rFonts w:hint="eastAsia" w:ascii="宋体" w:hAnsi="宋体" w:cs="宋体"/>
          <w:b/>
          <w:color w:val="auto"/>
          <w:sz w:val="30"/>
          <w:szCs w:val="30"/>
        </w:rPr>
        <w:t>、建设项目、场地</w:t>
      </w:r>
      <w:r>
        <w:rPr>
          <w:rFonts w:ascii="宋体" w:hAnsi="宋体"/>
          <w:color w:val="auto"/>
          <w:sz w:val="24"/>
        </w:rPr>
        <w:t>、</w:t>
      </w:r>
      <w:r>
        <w:rPr>
          <w:rFonts w:hint="eastAsia" w:ascii="宋体" w:hAnsi="宋体" w:cs="宋体"/>
          <w:b/>
          <w:color w:val="auto"/>
          <w:sz w:val="30"/>
          <w:szCs w:val="30"/>
        </w:rPr>
        <w:t>预算及设备附表</w:t>
      </w:r>
    </w:p>
    <w:p w14:paraId="135B080B">
      <w:pPr>
        <w:jc w:val="left"/>
        <w:rPr>
          <w:rFonts w:hint="eastAsia" w:ascii="宋体" w:hAnsi="宋体" w:cs="宋体"/>
          <w:b/>
          <w:color w:val="auto"/>
          <w:sz w:val="28"/>
          <w:szCs w:val="28"/>
        </w:rPr>
      </w:pPr>
      <w:r>
        <w:rPr>
          <w:rFonts w:hint="eastAsia" w:ascii="宋体" w:hAnsi="宋体" w:cs="宋体"/>
          <w:b/>
          <w:color w:val="auto"/>
          <w:sz w:val="28"/>
          <w:szCs w:val="28"/>
        </w:rPr>
        <w:t>1、建设项目</w:t>
      </w:r>
    </w:p>
    <w:p w14:paraId="70C087D6">
      <w:pPr>
        <w:ind w:firstLine="560" w:firstLineChars="200"/>
        <w:rPr>
          <w:rFonts w:hint="eastAsia" w:ascii="宋体" w:hAnsi="宋体" w:cs="宋体"/>
          <w:bCs/>
          <w:color w:val="auto"/>
          <w:sz w:val="28"/>
          <w:szCs w:val="28"/>
        </w:rPr>
      </w:pPr>
      <w:r>
        <w:rPr>
          <w:rFonts w:hint="eastAsia" w:ascii="宋体" w:hAnsi="宋体" w:cs="宋体"/>
          <w:color w:val="auto"/>
          <w:sz w:val="28"/>
          <w:szCs w:val="28"/>
        </w:rPr>
        <w:t>2024</w:t>
      </w:r>
      <w:r>
        <w:rPr>
          <w:rFonts w:hint="eastAsia" w:ascii="宋体" w:hAnsi="宋体" w:cs="宋体"/>
          <w:bCs/>
          <w:color w:val="auto"/>
          <w:sz w:val="28"/>
          <w:szCs w:val="28"/>
        </w:rPr>
        <w:t>-2025学年拟建设1个专业基础实验室和</w:t>
      </w:r>
      <w:r>
        <w:rPr>
          <w:rFonts w:hint="eastAsia" w:ascii="宋体" w:hAnsi="宋体" w:cs="宋体"/>
          <w:bCs/>
          <w:color w:val="auto"/>
          <w:sz w:val="28"/>
          <w:szCs w:val="28"/>
          <w:lang w:val="en-US" w:eastAsia="zh-CN"/>
        </w:rPr>
        <w:t>1</w:t>
      </w:r>
      <w:r>
        <w:rPr>
          <w:rFonts w:hint="eastAsia" w:ascii="宋体" w:hAnsi="宋体" w:cs="宋体"/>
          <w:bCs/>
          <w:color w:val="auto"/>
          <w:sz w:val="28"/>
          <w:szCs w:val="28"/>
        </w:rPr>
        <w:t>个专业实验室，分别是智能网联汽车实验室和液压与传动实验室。</w:t>
      </w:r>
      <w:r>
        <w:rPr>
          <w:rFonts w:hint="eastAsia" w:ascii="宋体" w:hAnsi="宋体" w:cs="宋体"/>
          <w:bCs/>
          <w:color w:val="auto"/>
          <w:sz w:val="28"/>
          <w:szCs w:val="28"/>
          <w:lang w:val="en-US" w:eastAsia="zh-CN"/>
        </w:rPr>
        <w:t>两</w:t>
      </w:r>
      <w:r>
        <w:rPr>
          <w:rFonts w:hint="eastAsia" w:ascii="宋体" w:hAnsi="宋体" w:cs="宋体"/>
          <w:bCs/>
          <w:color w:val="auto"/>
          <w:sz w:val="28"/>
          <w:szCs w:val="28"/>
        </w:rPr>
        <w:t>个实验室建成以后可以为工学院所有本科及高职专业的学生提供实训条件，同时五年一贯制大专和技工、高级技工层次也能受益。</w:t>
      </w:r>
    </w:p>
    <w:p w14:paraId="32253480">
      <w:pPr>
        <w:ind w:firstLine="560" w:firstLineChars="200"/>
        <w:jc w:val="left"/>
        <w:rPr>
          <w:rFonts w:hint="eastAsia" w:ascii="宋体" w:hAnsi="宋体" w:cs="宋体"/>
          <w:bCs/>
          <w:color w:val="auto"/>
          <w:sz w:val="28"/>
          <w:szCs w:val="28"/>
        </w:rPr>
      </w:pPr>
      <w:r>
        <w:rPr>
          <w:rFonts w:hint="eastAsia" w:ascii="宋体" w:hAnsi="宋体" w:cs="宋体"/>
          <w:bCs/>
          <w:color w:val="auto"/>
          <w:sz w:val="28"/>
          <w:szCs w:val="28"/>
        </w:rPr>
        <w:t>这些实验室建成以后本科所有课程都能具备一定的实训条件，实训开出率可以达到95%以上，将为高水平专业建设提供更加有力的条件支撑。除此之外，高职及五年一贯的汽车制造与试验技术专业所有课程也能进行实训，而高职机电一体化专业的开出率也能得到较大的提升。</w:t>
      </w:r>
    </w:p>
    <w:p w14:paraId="314C4536">
      <w:pPr>
        <w:numPr>
          <w:ilvl w:val="0"/>
          <w:numId w:val="1"/>
        </w:numPr>
        <w:jc w:val="left"/>
        <w:rPr>
          <w:rFonts w:hint="eastAsia" w:ascii="宋体" w:hAnsi="宋体" w:cs="宋体"/>
          <w:b/>
          <w:color w:val="auto"/>
          <w:sz w:val="28"/>
          <w:szCs w:val="28"/>
        </w:rPr>
      </w:pPr>
      <w:r>
        <w:rPr>
          <w:rFonts w:hint="eastAsia" w:ascii="宋体" w:hAnsi="宋体" w:cs="宋体"/>
          <w:b/>
          <w:color w:val="auto"/>
          <w:sz w:val="28"/>
          <w:szCs w:val="28"/>
        </w:rPr>
        <w:t>建设场地</w:t>
      </w:r>
    </w:p>
    <w:p w14:paraId="78E9B8A2">
      <w:pPr>
        <w:ind w:firstLine="570"/>
        <w:jc w:val="left"/>
        <w:rPr>
          <w:rFonts w:hint="eastAsia" w:ascii="宋体" w:hAnsi="宋体" w:cs="宋体"/>
          <w:bCs/>
          <w:color w:val="auto"/>
          <w:sz w:val="28"/>
          <w:szCs w:val="28"/>
        </w:rPr>
      </w:pPr>
      <w:r>
        <w:rPr>
          <w:rFonts w:hint="eastAsia" w:ascii="宋体" w:hAnsi="宋体" w:cs="宋体"/>
          <w:bCs/>
          <w:color w:val="auto"/>
          <w:sz w:val="28"/>
          <w:szCs w:val="28"/>
        </w:rPr>
        <w:t>工学院汽车实验实训中心改建之后建筑面积缩减至3500余平方米，仅能同时满足300名左右学生上课，实训开展时非常拥挤，存在很大安全隐患，亟需扩建实训中心，确保实训课安全开展。</w:t>
      </w:r>
    </w:p>
    <w:p w14:paraId="7E8FFF04">
      <w:pPr>
        <w:ind w:firstLine="570"/>
        <w:jc w:val="left"/>
        <w:rPr>
          <w:rFonts w:hint="default" w:ascii="宋体" w:hAnsi="宋体" w:cs="宋体"/>
          <w:bCs/>
          <w:color w:val="auto"/>
          <w:sz w:val="28"/>
          <w:szCs w:val="28"/>
          <w:lang w:val="en-US" w:eastAsia="zh-CN"/>
        </w:rPr>
      </w:pPr>
      <w:r>
        <w:rPr>
          <w:rFonts w:hint="eastAsia" w:ascii="宋体" w:hAnsi="宋体" w:cs="宋体"/>
          <w:bCs/>
          <w:color w:val="auto"/>
          <w:sz w:val="28"/>
          <w:szCs w:val="28"/>
          <w:lang w:val="en-US" w:eastAsia="zh-CN"/>
        </w:rPr>
        <w:t>汽车构造课程实训中最基础的实验设备台套数不足或者不全，因面积小放不下，都集中到存放点了，导致实训课程不能正常开展。</w:t>
      </w:r>
    </w:p>
    <w:p w14:paraId="6FD7C02B">
      <w:pPr>
        <w:ind w:firstLine="570"/>
        <w:jc w:val="left"/>
        <w:rPr>
          <w:rFonts w:hint="eastAsia" w:ascii="宋体" w:hAnsi="宋体" w:cs="宋体"/>
          <w:bCs/>
          <w:color w:val="auto"/>
          <w:sz w:val="28"/>
          <w:szCs w:val="28"/>
        </w:rPr>
      </w:pPr>
      <w:r>
        <w:rPr>
          <w:rFonts w:hint="eastAsia" w:ascii="宋体" w:hAnsi="宋体" w:cs="宋体"/>
          <w:bCs/>
          <w:color w:val="auto"/>
          <w:sz w:val="28"/>
          <w:szCs w:val="28"/>
        </w:rPr>
        <w:t>由于场地地面属于磨砂面，容易在磨砂缝隙中存留沙尘，导致实训室环境显得很脏乱，为营造良好实训环境，需要对一楼和二层楼地面进行更换。</w:t>
      </w:r>
    </w:p>
    <w:p w14:paraId="6AF45B1A">
      <w:pPr>
        <w:numPr>
          <w:ilvl w:val="0"/>
          <w:numId w:val="1"/>
        </w:numPr>
        <w:jc w:val="left"/>
        <w:rPr>
          <w:rFonts w:hint="eastAsia" w:ascii="宋体" w:hAnsi="宋体" w:cs="宋体"/>
          <w:b/>
          <w:color w:val="auto"/>
          <w:sz w:val="28"/>
          <w:szCs w:val="28"/>
        </w:rPr>
      </w:pPr>
      <w:r>
        <w:rPr>
          <w:rFonts w:hint="eastAsia" w:ascii="宋体" w:hAnsi="宋体" w:cs="宋体"/>
          <w:b/>
          <w:color w:val="auto"/>
          <w:sz w:val="28"/>
          <w:szCs w:val="28"/>
        </w:rPr>
        <w:t>建设预算</w:t>
      </w:r>
    </w:p>
    <w:p w14:paraId="711478D7">
      <w:pPr>
        <w:ind w:firstLine="843" w:firstLineChars="300"/>
        <w:jc w:val="center"/>
        <w:rPr>
          <w:rFonts w:hint="eastAsia" w:ascii="宋体" w:hAnsi="宋体" w:cs="宋体"/>
          <w:b/>
          <w:color w:val="auto"/>
          <w:sz w:val="28"/>
          <w:szCs w:val="28"/>
        </w:rPr>
      </w:pPr>
      <w:r>
        <w:rPr>
          <w:rFonts w:hint="eastAsia" w:ascii="宋体" w:hAnsi="宋体" w:cs="宋体"/>
          <w:b/>
          <w:bCs/>
          <w:color w:val="auto"/>
          <w:sz w:val="28"/>
          <w:szCs w:val="28"/>
        </w:rPr>
        <w:t>202</w:t>
      </w:r>
      <w:r>
        <w:rPr>
          <w:rFonts w:hint="eastAsia" w:ascii="宋体" w:hAnsi="宋体" w:cs="宋体"/>
          <w:b/>
          <w:bCs/>
          <w:color w:val="auto"/>
          <w:sz w:val="28"/>
          <w:szCs w:val="28"/>
          <w:lang w:val="en-US" w:eastAsia="zh-CN"/>
        </w:rPr>
        <w:t>3</w:t>
      </w:r>
      <w:r>
        <w:rPr>
          <w:rFonts w:hint="eastAsia" w:ascii="宋体" w:hAnsi="宋体" w:cs="宋体"/>
          <w:b/>
          <w:bCs/>
          <w:color w:val="auto"/>
          <w:sz w:val="28"/>
          <w:szCs w:val="28"/>
        </w:rPr>
        <w:t>-202</w:t>
      </w:r>
      <w:r>
        <w:rPr>
          <w:rFonts w:hint="eastAsia" w:ascii="宋体" w:hAnsi="宋体" w:cs="宋体"/>
          <w:b/>
          <w:bCs/>
          <w:color w:val="auto"/>
          <w:sz w:val="28"/>
          <w:szCs w:val="28"/>
          <w:lang w:val="en-US" w:eastAsia="zh-CN"/>
        </w:rPr>
        <w:t>4</w:t>
      </w:r>
      <w:r>
        <w:rPr>
          <w:rFonts w:hint="eastAsia" w:ascii="宋体" w:hAnsi="宋体" w:cs="宋体"/>
          <w:b/>
          <w:bCs/>
          <w:color w:val="auto"/>
          <w:sz w:val="28"/>
          <w:szCs w:val="28"/>
        </w:rPr>
        <w:t>学年工学院汽车实验室建设预算</w:t>
      </w:r>
    </w:p>
    <w:tbl>
      <w:tblPr>
        <w:tblStyle w:val="4"/>
        <w:tblW w:w="7764"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424"/>
        <w:gridCol w:w="3246"/>
        <w:gridCol w:w="966"/>
        <w:gridCol w:w="1434"/>
        <w:gridCol w:w="694"/>
      </w:tblGrid>
      <w:tr w14:paraId="590B31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3" w:hRule="atLeast"/>
          <w:jc w:val="center"/>
        </w:trPr>
        <w:tc>
          <w:tcPr>
            <w:tcW w:w="1424" w:type="dxa"/>
            <w:tcBorders>
              <w:right w:val="single" w:color="auto" w:sz="4" w:space="0"/>
            </w:tcBorders>
            <w:noWrap w:val="0"/>
            <w:vAlign w:val="center"/>
          </w:tcPr>
          <w:p w14:paraId="0F6C2ABA">
            <w:pPr>
              <w:widowControl/>
              <w:spacing w:line="280" w:lineRule="exact"/>
              <w:jc w:val="center"/>
              <w:rPr>
                <w:rFonts w:hint="eastAsia" w:ascii="宋体" w:hAnsi="宋体" w:cs="宋体"/>
                <w:b/>
                <w:color w:val="auto"/>
                <w:kern w:val="0"/>
                <w:sz w:val="24"/>
              </w:rPr>
            </w:pPr>
            <w:r>
              <w:rPr>
                <w:rFonts w:hint="eastAsia" w:ascii="宋体" w:hAnsi="宋体" w:cs="宋体"/>
                <w:b/>
                <w:color w:val="auto"/>
                <w:kern w:val="0"/>
                <w:sz w:val="24"/>
              </w:rPr>
              <w:t>实验室名称</w:t>
            </w:r>
          </w:p>
        </w:tc>
        <w:tc>
          <w:tcPr>
            <w:tcW w:w="3246" w:type="dxa"/>
            <w:tcBorders>
              <w:left w:val="single" w:color="auto" w:sz="4" w:space="0"/>
            </w:tcBorders>
            <w:noWrap w:val="0"/>
            <w:vAlign w:val="center"/>
          </w:tcPr>
          <w:p w14:paraId="64F4B1A0">
            <w:pPr>
              <w:widowControl/>
              <w:spacing w:line="280" w:lineRule="exact"/>
              <w:jc w:val="center"/>
              <w:rPr>
                <w:rFonts w:hint="eastAsia" w:ascii="宋体" w:hAnsi="宋体" w:cs="宋体"/>
                <w:b/>
                <w:color w:val="auto"/>
                <w:kern w:val="0"/>
                <w:sz w:val="24"/>
              </w:rPr>
            </w:pPr>
            <w:r>
              <w:rPr>
                <w:rFonts w:hint="eastAsia" w:ascii="宋体" w:hAnsi="宋体" w:cs="宋体"/>
                <w:b/>
                <w:color w:val="auto"/>
                <w:kern w:val="0"/>
                <w:sz w:val="24"/>
              </w:rPr>
              <w:t>主要设备</w:t>
            </w:r>
          </w:p>
        </w:tc>
        <w:tc>
          <w:tcPr>
            <w:tcW w:w="966" w:type="dxa"/>
            <w:tcBorders>
              <w:left w:val="single" w:color="auto" w:sz="4" w:space="0"/>
              <w:right w:val="single" w:color="auto" w:sz="4" w:space="0"/>
            </w:tcBorders>
            <w:noWrap w:val="0"/>
            <w:vAlign w:val="center"/>
          </w:tcPr>
          <w:p w14:paraId="16623BC2">
            <w:pPr>
              <w:widowControl/>
              <w:spacing w:line="280" w:lineRule="exact"/>
              <w:jc w:val="center"/>
              <w:rPr>
                <w:rFonts w:hint="eastAsia" w:ascii="宋体" w:hAnsi="宋体" w:cs="宋体"/>
                <w:b/>
                <w:color w:val="auto"/>
                <w:kern w:val="0"/>
                <w:sz w:val="24"/>
              </w:rPr>
            </w:pPr>
            <w:bookmarkStart w:id="0" w:name="_GoBack"/>
            <w:bookmarkEnd w:id="0"/>
            <w:r>
              <w:rPr>
                <w:rFonts w:hint="eastAsia" w:ascii="宋体" w:hAnsi="宋体" w:cs="宋体"/>
                <w:b/>
                <w:color w:val="auto"/>
                <w:kern w:val="0"/>
                <w:sz w:val="24"/>
              </w:rPr>
              <w:t>建设</w:t>
            </w:r>
          </w:p>
          <w:p w14:paraId="6629C445">
            <w:pPr>
              <w:widowControl/>
              <w:spacing w:line="280" w:lineRule="exact"/>
              <w:jc w:val="center"/>
              <w:rPr>
                <w:rFonts w:hint="eastAsia" w:ascii="宋体" w:hAnsi="宋体" w:cs="宋体"/>
                <w:b/>
                <w:color w:val="auto"/>
                <w:kern w:val="0"/>
                <w:sz w:val="24"/>
              </w:rPr>
            </w:pPr>
            <w:r>
              <w:rPr>
                <w:rFonts w:hint="eastAsia" w:ascii="宋体" w:hAnsi="宋体" w:cs="宋体"/>
                <w:b/>
                <w:color w:val="auto"/>
                <w:kern w:val="0"/>
                <w:sz w:val="24"/>
              </w:rPr>
              <w:t>年份</w:t>
            </w:r>
          </w:p>
        </w:tc>
        <w:tc>
          <w:tcPr>
            <w:tcW w:w="1434" w:type="dxa"/>
            <w:tcBorders>
              <w:left w:val="single" w:color="auto" w:sz="4" w:space="0"/>
              <w:right w:val="single" w:color="auto" w:sz="4" w:space="0"/>
            </w:tcBorders>
            <w:noWrap w:val="0"/>
            <w:vAlign w:val="center"/>
          </w:tcPr>
          <w:p w14:paraId="5F7590BA">
            <w:pPr>
              <w:spacing w:line="280" w:lineRule="exact"/>
              <w:rPr>
                <w:rFonts w:hint="eastAsia" w:ascii="宋体" w:hAnsi="宋体" w:cs="宋体"/>
                <w:b/>
                <w:color w:val="auto"/>
                <w:kern w:val="0"/>
                <w:sz w:val="24"/>
              </w:rPr>
            </w:pPr>
            <w:r>
              <w:rPr>
                <w:rFonts w:hint="eastAsia" w:ascii="宋体" w:hAnsi="宋体" w:cs="宋体"/>
                <w:b/>
                <w:color w:val="auto"/>
                <w:kern w:val="0"/>
                <w:sz w:val="24"/>
              </w:rPr>
              <w:t>服务专业及学生数/年招生规模</w:t>
            </w:r>
          </w:p>
        </w:tc>
        <w:tc>
          <w:tcPr>
            <w:tcW w:w="694" w:type="dxa"/>
            <w:tcBorders>
              <w:left w:val="single" w:color="auto" w:sz="4" w:space="0"/>
              <w:right w:val="single" w:color="auto" w:sz="4" w:space="0"/>
            </w:tcBorders>
            <w:noWrap w:val="0"/>
            <w:vAlign w:val="center"/>
          </w:tcPr>
          <w:p w14:paraId="31A698BE">
            <w:pPr>
              <w:spacing w:line="280" w:lineRule="exact"/>
              <w:jc w:val="center"/>
              <w:rPr>
                <w:rFonts w:hint="eastAsia" w:ascii="宋体" w:hAnsi="宋体" w:cs="宋体"/>
                <w:b/>
                <w:color w:val="auto"/>
                <w:kern w:val="0"/>
                <w:sz w:val="24"/>
              </w:rPr>
            </w:pPr>
            <w:r>
              <w:rPr>
                <w:rFonts w:hint="eastAsia" w:ascii="宋体" w:hAnsi="宋体" w:cs="宋体"/>
                <w:b/>
                <w:color w:val="auto"/>
                <w:kern w:val="0"/>
                <w:sz w:val="24"/>
              </w:rPr>
              <w:t>备注</w:t>
            </w:r>
          </w:p>
        </w:tc>
      </w:tr>
      <w:tr w14:paraId="4E98727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644" w:hRule="atLeast"/>
          <w:jc w:val="center"/>
        </w:trPr>
        <w:tc>
          <w:tcPr>
            <w:tcW w:w="1424" w:type="dxa"/>
            <w:tcBorders>
              <w:right w:val="single" w:color="auto" w:sz="4" w:space="0"/>
            </w:tcBorders>
            <w:noWrap w:val="0"/>
            <w:vAlign w:val="center"/>
          </w:tcPr>
          <w:p w14:paraId="1DB69767">
            <w:pPr>
              <w:jc w:val="center"/>
              <w:rPr>
                <w:rFonts w:hint="eastAsia" w:ascii="宋体" w:hAnsi="宋体" w:cs="宋体"/>
                <w:b/>
                <w:bCs/>
                <w:color w:val="auto"/>
                <w:kern w:val="0"/>
                <w:sz w:val="24"/>
                <w:lang w:bidi="ar"/>
              </w:rPr>
            </w:pPr>
            <w:r>
              <w:rPr>
                <w:rFonts w:hint="eastAsia" w:ascii="宋体" w:hAnsi="宋体" w:cs="宋体"/>
                <w:b/>
                <w:bCs/>
                <w:color w:val="auto"/>
                <w:kern w:val="0"/>
                <w:sz w:val="24"/>
                <w:lang w:bidi="ar"/>
              </w:rPr>
              <w:t>液压与传动     实验室</w:t>
            </w:r>
          </w:p>
        </w:tc>
        <w:tc>
          <w:tcPr>
            <w:tcW w:w="3246" w:type="dxa"/>
            <w:tcBorders>
              <w:left w:val="single" w:color="auto" w:sz="4" w:space="0"/>
            </w:tcBorders>
            <w:noWrap w:val="0"/>
            <w:vAlign w:val="center"/>
          </w:tcPr>
          <w:p w14:paraId="767EF007">
            <w:pPr>
              <w:spacing w:line="320" w:lineRule="exact"/>
              <w:rPr>
                <w:rFonts w:hint="eastAsia" w:ascii="宋体" w:hAnsi="宋体" w:cs="宋体"/>
                <w:bCs/>
                <w:color w:val="auto"/>
                <w:sz w:val="24"/>
              </w:rPr>
            </w:pPr>
            <w:r>
              <w:rPr>
                <w:rFonts w:hint="eastAsia" w:ascii="宋体" w:hAnsi="宋体" w:cs="宋体"/>
                <w:bCs/>
                <w:color w:val="auto"/>
                <w:sz w:val="24"/>
              </w:rPr>
              <w:t>ZRYY-03液压与气动传动综合实训装置</w:t>
            </w:r>
          </w:p>
        </w:tc>
        <w:tc>
          <w:tcPr>
            <w:tcW w:w="966" w:type="dxa"/>
            <w:tcBorders>
              <w:left w:val="single" w:color="auto" w:sz="4" w:space="0"/>
              <w:right w:val="single" w:color="auto" w:sz="4" w:space="0"/>
            </w:tcBorders>
            <w:noWrap w:val="0"/>
            <w:vAlign w:val="center"/>
          </w:tcPr>
          <w:p w14:paraId="68327B1C">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2023-2024</w:t>
            </w:r>
          </w:p>
          <w:p w14:paraId="7A52BF5A">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学年</w:t>
            </w:r>
          </w:p>
        </w:tc>
        <w:tc>
          <w:tcPr>
            <w:tcW w:w="1434" w:type="dxa"/>
            <w:tcBorders>
              <w:left w:val="single" w:color="auto" w:sz="4" w:space="0"/>
              <w:right w:val="single" w:color="auto" w:sz="4" w:space="0"/>
            </w:tcBorders>
            <w:noWrap w:val="0"/>
            <w:vAlign w:val="center"/>
          </w:tcPr>
          <w:p w14:paraId="31982E7F">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汽车服务工程、交通运输、汽车制造与试验技术/年招生约</w:t>
            </w:r>
            <w:r>
              <w:rPr>
                <w:rFonts w:ascii="宋体" w:hAnsi="宋体" w:cs="宋体"/>
                <w:bCs/>
                <w:color w:val="auto"/>
                <w:kern w:val="0"/>
                <w:sz w:val="24"/>
              </w:rPr>
              <w:t>26</w:t>
            </w:r>
            <w:r>
              <w:rPr>
                <w:rFonts w:hint="eastAsia" w:ascii="宋体" w:hAnsi="宋体" w:cs="宋体"/>
                <w:bCs/>
                <w:color w:val="auto"/>
                <w:kern w:val="0"/>
                <w:sz w:val="24"/>
              </w:rPr>
              <w:t>0人</w:t>
            </w:r>
          </w:p>
        </w:tc>
        <w:tc>
          <w:tcPr>
            <w:tcW w:w="694" w:type="dxa"/>
            <w:tcBorders>
              <w:left w:val="single" w:color="auto" w:sz="4" w:space="0"/>
              <w:right w:val="single" w:color="auto" w:sz="4" w:space="0"/>
            </w:tcBorders>
            <w:noWrap w:val="0"/>
            <w:vAlign w:val="center"/>
          </w:tcPr>
          <w:p w14:paraId="10CB69F8">
            <w:pPr>
              <w:spacing w:line="280" w:lineRule="exact"/>
              <w:jc w:val="center"/>
              <w:rPr>
                <w:rFonts w:hint="eastAsia" w:ascii="仿宋_GB2312" w:hAnsi="宋体" w:eastAsia="仿宋_GB2312" w:cs="宋体"/>
                <w:b/>
                <w:color w:val="auto"/>
                <w:kern w:val="0"/>
                <w:sz w:val="24"/>
              </w:rPr>
            </w:pPr>
          </w:p>
        </w:tc>
      </w:tr>
      <w:tr w14:paraId="611B9F0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131" w:hRule="atLeast"/>
          <w:jc w:val="center"/>
        </w:trPr>
        <w:tc>
          <w:tcPr>
            <w:tcW w:w="1424" w:type="dxa"/>
            <w:tcBorders>
              <w:right w:val="single" w:color="auto" w:sz="4" w:space="0"/>
            </w:tcBorders>
            <w:noWrap w:val="0"/>
            <w:vAlign w:val="center"/>
          </w:tcPr>
          <w:p w14:paraId="0E11DDE8">
            <w:pPr>
              <w:jc w:val="center"/>
              <w:rPr>
                <w:rFonts w:hint="eastAsia" w:ascii="宋体" w:hAnsi="宋体" w:cs="宋体"/>
                <w:b/>
                <w:bCs/>
                <w:color w:val="auto"/>
                <w:kern w:val="0"/>
                <w:sz w:val="24"/>
                <w:lang w:bidi="ar"/>
              </w:rPr>
            </w:pPr>
            <w:r>
              <w:rPr>
                <w:rFonts w:hint="eastAsia" w:ascii="宋体" w:hAnsi="宋体" w:cs="宋体"/>
                <w:b/>
                <w:bCs/>
                <w:color w:val="auto"/>
                <w:kern w:val="0"/>
                <w:sz w:val="24"/>
                <w:lang w:bidi="ar"/>
              </w:rPr>
              <w:t>智能网联汽车实验室</w:t>
            </w:r>
          </w:p>
        </w:tc>
        <w:tc>
          <w:tcPr>
            <w:tcW w:w="3246" w:type="dxa"/>
            <w:tcBorders>
              <w:left w:val="single" w:color="auto" w:sz="4" w:space="0"/>
            </w:tcBorders>
            <w:noWrap w:val="0"/>
            <w:vAlign w:val="center"/>
          </w:tcPr>
          <w:p w14:paraId="6E4F480D">
            <w:pPr>
              <w:spacing w:line="320" w:lineRule="exact"/>
              <w:rPr>
                <w:rFonts w:hint="eastAsia" w:ascii="宋体" w:hAnsi="宋体" w:cs="宋体"/>
                <w:color w:val="auto"/>
                <w:sz w:val="24"/>
              </w:rPr>
            </w:pPr>
            <w:r>
              <w:rPr>
                <w:rFonts w:hint="eastAsia" w:ascii="宋体" w:hAnsi="宋体" w:cs="宋体"/>
                <w:bCs/>
                <w:color w:val="auto"/>
                <w:sz w:val="24"/>
              </w:rPr>
              <w:t>汽车智能传感器实训台、线控底盘实训台、无人驾驶低速小车实训台、可移动一体化V2x感知基站、车联网集成应用考训台、ADAS控制策略仿真试验台</w:t>
            </w:r>
          </w:p>
        </w:tc>
        <w:tc>
          <w:tcPr>
            <w:tcW w:w="966" w:type="dxa"/>
            <w:tcBorders>
              <w:left w:val="single" w:color="auto" w:sz="4" w:space="0"/>
              <w:right w:val="single" w:color="auto" w:sz="4" w:space="0"/>
            </w:tcBorders>
            <w:noWrap w:val="0"/>
            <w:vAlign w:val="center"/>
          </w:tcPr>
          <w:p w14:paraId="19FDE733">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2023-2024</w:t>
            </w:r>
          </w:p>
          <w:p w14:paraId="7116CA92">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学年</w:t>
            </w:r>
          </w:p>
        </w:tc>
        <w:tc>
          <w:tcPr>
            <w:tcW w:w="1434" w:type="dxa"/>
            <w:tcBorders>
              <w:left w:val="single" w:color="auto" w:sz="4" w:space="0"/>
              <w:right w:val="single" w:color="auto" w:sz="4" w:space="0"/>
            </w:tcBorders>
            <w:noWrap w:val="0"/>
            <w:vAlign w:val="center"/>
          </w:tcPr>
          <w:p w14:paraId="303DCCA8">
            <w:pPr>
              <w:spacing w:line="280" w:lineRule="exact"/>
              <w:jc w:val="left"/>
              <w:rPr>
                <w:rFonts w:hint="eastAsia" w:ascii="宋体" w:hAnsi="宋体" w:cs="宋体"/>
                <w:bCs/>
                <w:color w:val="auto"/>
                <w:kern w:val="0"/>
                <w:sz w:val="24"/>
              </w:rPr>
            </w:pPr>
            <w:r>
              <w:rPr>
                <w:rFonts w:hint="eastAsia" w:ascii="宋体" w:hAnsi="宋体" w:cs="宋体"/>
                <w:bCs/>
                <w:color w:val="auto"/>
                <w:kern w:val="0"/>
                <w:sz w:val="24"/>
              </w:rPr>
              <w:t>汽车服务工程、交通运输、汽车制造与试验技术、机电一体化/年招生约300人</w:t>
            </w:r>
          </w:p>
        </w:tc>
        <w:tc>
          <w:tcPr>
            <w:tcW w:w="694" w:type="dxa"/>
            <w:tcBorders>
              <w:left w:val="single" w:color="auto" w:sz="4" w:space="0"/>
              <w:right w:val="single" w:color="auto" w:sz="4" w:space="0"/>
            </w:tcBorders>
            <w:noWrap w:val="0"/>
            <w:vAlign w:val="center"/>
          </w:tcPr>
          <w:p w14:paraId="4FC308F1">
            <w:pPr>
              <w:spacing w:line="280" w:lineRule="exact"/>
              <w:jc w:val="center"/>
              <w:rPr>
                <w:rFonts w:hint="eastAsia" w:ascii="仿宋_GB2312" w:hAnsi="宋体" w:eastAsia="仿宋_GB2312" w:cs="宋体"/>
                <w:b/>
                <w:color w:val="auto"/>
                <w:kern w:val="0"/>
                <w:sz w:val="24"/>
              </w:rPr>
            </w:pPr>
          </w:p>
        </w:tc>
      </w:tr>
      <w:tr w14:paraId="6000E5F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1424" w:type="dxa"/>
            <w:tcBorders>
              <w:right w:val="single" w:color="auto" w:sz="4" w:space="0"/>
            </w:tcBorders>
            <w:noWrap w:val="0"/>
            <w:vAlign w:val="center"/>
          </w:tcPr>
          <w:p w14:paraId="4D263CE4">
            <w:pPr>
              <w:widowControl/>
              <w:jc w:val="center"/>
              <w:rPr>
                <w:rFonts w:hint="eastAsia" w:ascii="宋体" w:hAnsi="宋体" w:cs="宋体"/>
                <w:b/>
                <w:color w:val="auto"/>
                <w:kern w:val="0"/>
                <w:sz w:val="24"/>
              </w:rPr>
            </w:pPr>
            <w:r>
              <w:rPr>
                <w:rFonts w:hint="eastAsia" w:ascii="宋体" w:hAnsi="宋体" w:cs="宋体"/>
                <w:b/>
                <w:color w:val="auto"/>
                <w:kern w:val="0"/>
                <w:sz w:val="24"/>
              </w:rPr>
              <w:t>合计</w:t>
            </w:r>
          </w:p>
        </w:tc>
        <w:tc>
          <w:tcPr>
            <w:tcW w:w="3246" w:type="dxa"/>
            <w:tcBorders>
              <w:left w:val="single" w:color="auto" w:sz="4" w:space="0"/>
            </w:tcBorders>
            <w:noWrap w:val="0"/>
            <w:vAlign w:val="center"/>
          </w:tcPr>
          <w:p w14:paraId="1F5A0A72">
            <w:pPr>
              <w:spacing w:line="320" w:lineRule="exact"/>
              <w:rPr>
                <w:rFonts w:hint="eastAsia" w:ascii="仿宋_GB2312" w:hAnsi="宋体" w:eastAsia="仿宋_GB2312"/>
                <w:b/>
                <w:color w:val="auto"/>
                <w:sz w:val="24"/>
              </w:rPr>
            </w:pPr>
          </w:p>
        </w:tc>
        <w:tc>
          <w:tcPr>
            <w:tcW w:w="966" w:type="dxa"/>
            <w:tcBorders>
              <w:left w:val="single" w:color="auto" w:sz="4" w:space="0"/>
              <w:right w:val="single" w:color="auto" w:sz="4" w:space="0"/>
            </w:tcBorders>
            <w:noWrap w:val="0"/>
            <w:vAlign w:val="center"/>
          </w:tcPr>
          <w:p w14:paraId="69C4794C">
            <w:pPr>
              <w:spacing w:line="280" w:lineRule="exact"/>
              <w:jc w:val="center"/>
              <w:rPr>
                <w:rFonts w:hint="eastAsia" w:ascii="仿宋_GB2312" w:hAnsi="宋体" w:eastAsia="仿宋_GB2312" w:cs="宋体"/>
                <w:b/>
                <w:color w:val="auto"/>
                <w:kern w:val="0"/>
                <w:sz w:val="24"/>
              </w:rPr>
            </w:pPr>
          </w:p>
        </w:tc>
        <w:tc>
          <w:tcPr>
            <w:tcW w:w="1434" w:type="dxa"/>
            <w:tcBorders>
              <w:left w:val="single" w:color="auto" w:sz="4" w:space="0"/>
              <w:right w:val="single" w:color="auto" w:sz="4" w:space="0"/>
            </w:tcBorders>
            <w:noWrap w:val="0"/>
            <w:vAlign w:val="center"/>
          </w:tcPr>
          <w:p w14:paraId="09076101">
            <w:pPr>
              <w:spacing w:line="280" w:lineRule="exact"/>
              <w:jc w:val="center"/>
              <w:rPr>
                <w:rFonts w:hint="eastAsia" w:ascii="仿宋_GB2312" w:hAnsi="宋体" w:eastAsia="仿宋_GB2312" w:cs="宋体"/>
                <w:b/>
                <w:color w:val="auto"/>
                <w:kern w:val="0"/>
                <w:sz w:val="24"/>
              </w:rPr>
            </w:pPr>
          </w:p>
        </w:tc>
        <w:tc>
          <w:tcPr>
            <w:tcW w:w="694" w:type="dxa"/>
            <w:tcBorders>
              <w:left w:val="single" w:color="auto" w:sz="4" w:space="0"/>
              <w:right w:val="single" w:color="auto" w:sz="4" w:space="0"/>
            </w:tcBorders>
            <w:noWrap w:val="0"/>
            <w:vAlign w:val="center"/>
          </w:tcPr>
          <w:p w14:paraId="2AFE3D95">
            <w:pPr>
              <w:spacing w:line="280" w:lineRule="exact"/>
              <w:jc w:val="center"/>
              <w:rPr>
                <w:rFonts w:hint="eastAsia" w:ascii="仿宋_GB2312" w:hAnsi="宋体" w:eastAsia="仿宋_GB2312" w:cs="宋体"/>
                <w:b/>
                <w:color w:val="auto"/>
                <w:kern w:val="0"/>
                <w:sz w:val="24"/>
              </w:rPr>
            </w:pPr>
          </w:p>
        </w:tc>
      </w:tr>
    </w:tbl>
    <w:p w14:paraId="5B5984D0">
      <w:pPr>
        <w:rPr>
          <w:rFonts w:ascii="宋体" w:hAnsi="宋体"/>
          <w:vanish/>
          <w:color w:val="auto"/>
          <w:sz w:val="24"/>
        </w:rPr>
      </w:pPr>
    </w:p>
    <w:p w14:paraId="5D86E907">
      <w:pPr>
        <w:rPr>
          <w:rFonts w:ascii="宋体" w:hAnsi="宋体"/>
          <w:b/>
          <w:bCs/>
          <w:color w:val="auto"/>
          <w:sz w:val="24"/>
        </w:rPr>
        <w:sectPr>
          <w:footerReference r:id="rId3" w:type="default"/>
          <w:pgSz w:w="11906" w:h="16838"/>
          <w:pgMar w:top="1440" w:right="1800" w:bottom="1440" w:left="1800" w:header="851" w:footer="992" w:gutter="0"/>
          <w:pgNumType w:start="1"/>
          <w:cols w:space="720" w:num="1"/>
          <w:docGrid w:type="lines" w:linePitch="312" w:charSpace="0"/>
        </w:sectPr>
      </w:pPr>
    </w:p>
    <w:p w14:paraId="2AFBF4C6">
      <w:pPr>
        <w:jc w:val="center"/>
        <w:rPr>
          <w:rFonts w:hint="eastAsia" w:ascii="宋体" w:hAnsi="宋体" w:cs="宋体"/>
          <w:b/>
          <w:color w:val="auto"/>
          <w:kern w:val="0"/>
          <w:sz w:val="28"/>
          <w:szCs w:val="28"/>
          <w:lang w:bidi="ar"/>
        </w:rPr>
      </w:pPr>
      <w:r>
        <w:rPr>
          <w:rFonts w:hint="eastAsia" w:ascii="宋体" w:hAnsi="宋体" w:cs="宋体"/>
          <w:b/>
          <w:color w:val="auto"/>
          <w:kern w:val="0"/>
          <w:sz w:val="28"/>
          <w:szCs w:val="28"/>
          <w:lang w:bidi="ar"/>
        </w:rPr>
        <w:t>新建实验室设备附表如下</w:t>
      </w:r>
    </w:p>
    <w:tbl>
      <w:tblPr>
        <w:tblStyle w:val="5"/>
        <w:tblW w:w="14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3188"/>
        <w:gridCol w:w="1706"/>
        <w:gridCol w:w="6956"/>
        <w:gridCol w:w="709"/>
      </w:tblGrid>
      <w:tr w14:paraId="4B1F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659" w:type="dxa"/>
            <w:noWrap w:val="0"/>
            <w:vAlign w:val="center"/>
          </w:tcPr>
          <w:p w14:paraId="022F6648">
            <w:pPr>
              <w:jc w:val="center"/>
              <w:rPr>
                <w:rFonts w:ascii="宋体" w:hAnsi="宋体" w:cs="宋体"/>
                <w:b/>
                <w:color w:val="auto"/>
                <w:kern w:val="0"/>
                <w:sz w:val="28"/>
                <w:szCs w:val="28"/>
                <w:lang w:bidi="ar"/>
              </w:rPr>
            </w:pPr>
            <w:r>
              <w:rPr>
                <w:rFonts w:hint="eastAsia" w:ascii="宋体" w:hAnsi="宋体" w:cs="宋体"/>
                <w:bCs/>
                <w:color w:val="auto"/>
                <w:kern w:val="0"/>
                <w:sz w:val="28"/>
                <w:szCs w:val="28"/>
                <w:lang w:bidi="ar"/>
              </w:rPr>
              <w:t>实验室名称</w:t>
            </w:r>
          </w:p>
        </w:tc>
        <w:tc>
          <w:tcPr>
            <w:tcW w:w="3188" w:type="dxa"/>
            <w:noWrap w:val="0"/>
            <w:vAlign w:val="center"/>
          </w:tcPr>
          <w:p w14:paraId="523A831F">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设备名称</w:t>
            </w:r>
          </w:p>
        </w:tc>
        <w:tc>
          <w:tcPr>
            <w:tcW w:w="1706" w:type="dxa"/>
            <w:noWrap w:val="0"/>
            <w:vAlign w:val="center"/>
          </w:tcPr>
          <w:p w14:paraId="5D957960">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技术参数</w:t>
            </w:r>
          </w:p>
        </w:tc>
        <w:tc>
          <w:tcPr>
            <w:tcW w:w="6956" w:type="dxa"/>
            <w:noWrap w:val="0"/>
            <w:vAlign w:val="center"/>
          </w:tcPr>
          <w:p w14:paraId="0E7B12D9">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功能描述</w:t>
            </w:r>
          </w:p>
        </w:tc>
        <w:tc>
          <w:tcPr>
            <w:tcW w:w="709" w:type="dxa"/>
            <w:noWrap w:val="0"/>
            <w:vAlign w:val="center"/>
          </w:tcPr>
          <w:p w14:paraId="1986F3FC">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数量</w:t>
            </w:r>
          </w:p>
        </w:tc>
      </w:tr>
      <w:tr w14:paraId="67F4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659" w:type="dxa"/>
            <w:vMerge w:val="restart"/>
            <w:noWrap w:val="0"/>
            <w:vAlign w:val="center"/>
          </w:tcPr>
          <w:p w14:paraId="23E7D153">
            <w:pPr>
              <w:jc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智能网联汽车实验室</w:t>
            </w:r>
          </w:p>
        </w:tc>
        <w:tc>
          <w:tcPr>
            <w:tcW w:w="3188" w:type="dxa"/>
            <w:noWrap w:val="0"/>
            <w:vAlign w:val="center"/>
          </w:tcPr>
          <w:p w14:paraId="67AA638C">
            <w:pPr>
              <w:widowControl/>
              <w:jc w:val="left"/>
              <w:textAlignment w:val="center"/>
              <w:rPr>
                <w:rFonts w:hint="eastAsia" w:ascii="宋体" w:hAnsi="宋体" w:cs="宋体"/>
                <w:bCs/>
                <w:color w:val="auto"/>
                <w:sz w:val="24"/>
              </w:rPr>
            </w:pPr>
            <w:r>
              <w:rPr>
                <w:rFonts w:hint="eastAsia" w:ascii="宋体" w:hAnsi="宋体" w:cs="宋体"/>
                <w:bCs/>
                <w:color w:val="auto"/>
                <w:sz w:val="24"/>
              </w:rPr>
              <w:t>汽车智能传感器实训台</w:t>
            </w:r>
          </w:p>
        </w:tc>
        <w:tc>
          <w:tcPr>
            <w:tcW w:w="1706" w:type="dxa"/>
            <w:noWrap w:val="0"/>
            <w:vAlign w:val="center"/>
          </w:tcPr>
          <w:p w14:paraId="75B7C0C3">
            <w:pPr>
              <w:widowControl/>
              <w:jc w:val="center"/>
              <w:textAlignment w:val="center"/>
              <w:rPr>
                <w:rFonts w:hint="eastAsia" w:ascii="Arial" w:hAnsi="Arial" w:cs="Arial"/>
                <w:color w:val="auto"/>
                <w:sz w:val="24"/>
                <w:shd w:val="clear" w:color="auto" w:fill="FFFFFF"/>
              </w:rPr>
            </w:pPr>
            <w:r>
              <w:rPr>
                <w:rFonts w:ascii="Arial" w:hAnsi="Arial" w:cs="Arial"/>
                <w:color w:val="auto"/>
                <w:sz w:val="24"/>
                <w:shd w:val="clear" w:color="auto" w:fill="FFFFFF"/>
              </w:rPr>
              <w:t>QDC-3</w:t>
            </w:r>
          </w:p>
        </w:tc>
        <w:tc>
          <w:tcPr>
            <w:tcW w:w="6956" w:type="dxa"/>
            <w:noWrap w:val="0"/>
            <w:vAlign w:val="center"/>
          </w:tcPr>
          <w:p w14:paraId="50702DA5">
            <w:pPr>
              <w:widowControl/>
              <w:jc w:val="left"/>
              <w:textAlignment w:val="center"/>
              <w:rPr>
                <w:rFonts w:ascii="宋体" w:hAnsi="宋体" w:cs="宋体"/>
                <w:b/>
                <w:color w:val="auto"/>
                <w:kern w:val="0"/>
                <w:sz w:val="28"/>
                <w:szCs w:val="28"/>
                <w:lang w:bidi="ar"/>
              </w:rPr>
            </w:pPr>
            <w:r>
              <w:rPr>
                <w:rFonts w:hint="eastAsia" w:ascii="宋体" w:hAnsi="宋体" w:cs="宋体"/>
                <w:color w:val="auto"/>
                <w:kern w:val="0"/>
                <w:sz w:val="24"/>
                <w:lang w:bidi="ar"/>
              </w:rPr>
              <w:t>自动驾驶所需的多类感知定位传感器实训</w:t>
            </w:r>
          </w:p>
        </w:tc>
        <w:tc>
          <w:tcPr>
            <w:tcW w:w="709" w:type="dxa"/>
            <w:noWrap w:val="0"/>
            <w:vAlign w:val="center"/>
          </w:tcPr>
          <w:p w14:paraId="0C7CCC19">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1台</w:t>
            </w:r>
          </w:p>
        </w:tc>
      </w:tr>
      <w:tr w14:paraId="2299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659" w:type="dxa"/>
            <w:vMerge w:val="continue"/>
            <w:noWrap w:val="0"/>
            <w:vAlign w:val="top"/>
          </w:tcPr>
          <w:p w14:paraId="65247A5E">
            <w:pPr>
              <w:jc w:val="left"/>
              <w:rPr>
                <w:rFonts w:hint="eastAsia" w:ascii="宋体" w:hAnsi="宋体" w:cs="宋体"/>
                <w:b/>
                <w:color w:val="auto"/>
                <w:kern w:val="0"/>
                <w:sz w:val="28"/>
                <w:szCs w:val="28"/>
                <w:lang w:bidi="ar"/>
              </w:rPr>
            </w:pPr>
          </w:p>
        </w:tc>
        <w:tc>
          <w:tcPr>
            <w:tcW w:w="3188" w:type="dxa"/>
            <w:noWrap w:val="0"/>
            <w:vAlign w:val="center"/>
          </w:tcPr>
          <w:p w14:paraId="4C7FA6A3">
            <w:pPr>
              <w:widowControl/>
              <w:jc w:val="left"/>
              <w:textAlignment w:val="center"/>
              <w:rPr>
                <w:rFonts w:hint="eastAsia" w:ascii="宋体" w:hAnsi="宋体" w:cs="宋体"/>
                <w:bCs/>
                <w:color w:val="auto"/>
                <w:sz w:val="24"/>
              </w:rPr>
            </w:pPr>
            <w:r>
              <w:rPr>
                <w:rFonts w:hint="eastAsia" w:ascii="宋体" w:hAnsi="宋体" w:cs="宋体"/>
                <w:bCs/>
                <w:color w:val="auto"/>
                <w:sz w:val="24"/>
              </w:rPr>
              <w:t>线控底盘实训台</w:t>
            </w:r>
          </w:p>
        </w:tc>
        <w:tc>
          <w:tcPr>
            <w:tcW w:w="1706" w:type="dxa"/>
            <w:noWrap w:val="0"/>
            <w:vAlign w:val="top"/>
          </w:tcPr>
          <w:p w14:paraId="2BF92B6E">
            <w:pPr>
              <w:widowControl/>
              <w:jc w:val="center"/>
              <w:textAlignment w:val="center"/>
              <w:rPr>
                <w:rFonts w:hint="eastAsia" w:ascii="Arial" w:hAnsi="Arial" w:cs="Arial"/>
                <w:color w:val="auto"/>
                <w:sz w:val="24"/>
                <w:shd w:val="clear" w:color="auto" w:fill="FFFFFF"/>
              </w:rPr>
            </w:pPr>
            <w:r>
              <w:rPr>
                <w:rFonts w:ascii="Arial" w:hAnsi="Arial" w:cs="Arial"/>
                <w:color w:val="auto"/>
                <w:sz w:val="24"/>
                <w:shd w:val="clear" w:color="auto" w:fill="FFFFFF"/>
              </w:rPr>
              <w:fldChar w:fldCharType="begin"/>
            </w:r>
            <w:r>
              <w:rPr>
                <w:rFonts w:ascii="Arial" w:hAnsi="Arial" w:cs="Arial"/>
                <w:color w:val="auto"/>
                <w:sz w:val="24"/>
                <w:shd w:val="clear" w:color="auto" w:fill="FFFFFF"/>
              </w:rPr>
              <w:instrText xml:space="preserve"> HYPERLINK "http://www.baidu.com/link?url=3lWR-IMq1kU-JrSMBLm1dDdfxCFj7QatVYw8Fy8LDjtJKeO_s-YxxHel-RL49dGqVR-HAFpVdRdpz0q4bjWL3_SGwsbT1fd5przMXO-V0I7" \t "https://www.baidu.com/_blank" </w:instrText>
            </w:r>
            <w:r>
              <w:rPr>
                <w:rFonts w:ascii="Arial" w:hAnsi="Arial" w:cs="Arial"/>
                <w:color w:val="auto"/>
                <w:sz w:val="24"/>
                <w:shd w:val="clear" w:color="auto" w:fill="FFFFFF"/>
              </w:rPr>
              <w:fldChar w:fldCharType="separate"/>
            </w:r>
            <w:r>
              <w:rPr>
                <w:rFonts w:ascii="Arial" w:hAnsi="Arial" w:cs="Arial"/>
                <w:color w:val="auto"/>
                <w:sz w:val="24"/>
                <w:shd w:val="clear" w:color="auto" w:fill="FFFFFF"/>
              </w:rPr>
              <w:t>CR10</w:t>
            </w:r>
            <w:r>
              <w:rPr>
                <w:rFonts w:ascii="Arial" w:hAnsi="Arial" w:cs="Arial"/>
                <w:color w:val="auto"/>
                <w:sz w:val="24"/>
                <w:shd w:val="clear" w:color="auto" w:fill="FFFFFF"/>
              </w:rPr>
              <w:fldChar w:fldCharType="end"/>
            </w:r>
          </w:p>
        </w:tc>
        <w:tc>
          <w:tcPr>
            <w:tcW w:w="6956" w:type="dxa"/>
            <w:noWrap w:val="0"/>
            <w:vAlign w:val="center"/>
          </w:tcPr>
          <w:p w14:paraId="659AE397">
            <w:pPr>
              <w:widowControl/>
              <w:jc w:val="left"/>
              <w:textAlignment w:val="center"/>
              <w:rPr>
                <w:rFonts w:ascii="宋体" w:hAnsi="宋体" w:cs="宋体"/>
                <w:b/>
                <w:color w:val="auto"/>
                <w:kern w:val="0"/>
                <w:sz w:val="28"/>
                <w:szCs w:val="28"/>
                <w:lang w:bidi="ar"/>
              </w:rPr>
            </w:pPr>
            <w:r>
              <w:rPr>
                <w:rFonts w:hint="eastAsia" w:ascii="宋体" w:hAnsi="宋体" w:cs="宋体"/>
                <w:color w:val="auto"/>
                <w:kern w:val="0"/>
                <w:sz w:val="24"/>
                <w:lang w:bidi="ar"/>
              </w:rPr>
              <w:t>底盘线控系统（线控刹车、线控油门、线控转向）原理</w:t>
            </w:r>
          </w:p>
        </w:tc>
        <w:tc>
          <w:tcPr>
            <w:tcW w:w="709" w:type="dxa"/>
            <w:noWrap w:val="0"/>
            <w:vAlign w:val="top"/>
          </w:tcPr>
          <w:p w14:paraId="77C513FA">
            <w:pPr>
              <w:jc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1台</w:t>
            </w:r>
          </w:p>
        </w:tc>
      </w:tr>
      <w:tr w14:paraId="2A49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659" w:type="dxa"/>
            <w:vMerge w:val="continue"/>
            <w:noWrap w:val="0"/>
            <w:vAlign w:val="top"/>
          </w:tcPr>
          <w:p w14:paraId="305431F5">
            <w:pPr>
              <w:jc w:val="left"/>
              <w:rPr>
                <w:rFonts w:hint="eastAsia" w:ascii="宋体" w:hAnsi="宋体" w:cs="宋体"/>
                <w:b/>
                <w:color w:val="auto"/>
                <w:kern w:val="0"/>
                <w:sz w:val="28"/>
                <w:szCs w:val="28"/>
                <w:lang w:bidi="ar"/>
              </w:rPr>
            </w:pPr>
          </w:p>
        </w:tc>
        <w:tc>
          <w:tcPr>
            <w:tcW w:w="3188" w:type="dxa"/>
            <w:noWrap w:val="0"/>
            <w:vAlign w:val="center"/>
          </w:tcPr>
          <w:p w14:paraId="00CB6C89">
            <w:pPr>
              <w:widowControl/>
              <w:jc w:val="left"/>
              <w:textAlignment w:val="center"/>
              <w:rPr>
                <w:rFonts w:hint="eastAsia" w:ascii="宋体" w:hAnsi="宋体" w:cs="宋体"/>
                <w:b/>
                <w:color w:val="auto"/>
                <w:kern w:val="0"/>
                <w:sz w:val="28"/>
                <w:szCs w:val="28"/>
                <w:lang w:bidi="ar"/>
              </w:rPr>
            </w:pPr>
            <w:r>
              <w:rPr>
                <w:rFonts w:hint="eastAsia" w:ascii="宋体" w:hAnsi="宋体" w:cs="宋体"/>
                <w:bCs/>
                <w:color w:val="auto"/>
                <w:sz w:val="24"/>
              </w:rPr>
              <w:t>无人驾驶低速小车实训台</w:t>
            </w:r>
          </w:p>
        </w:tc>
        <w:tc>
          <w:tcPr>
            <w:tcW w:w="1706" w:type="dxa"/>
            <w:noWrap w:val="0"/>
            <w:vAlign w:val="top"/>
          </w:tcPr>
          <w:p w14:paraId="68AFDC54">
            <w:pPr>
              <w:widowControl/>
              <w:jc w:val="center"/>
              <w:textAlignment w:val="center"/>
              <w:rPr>
                <w:rFonts w:hint="eastAsia" w:ascii="Arial" w:hAnsi="Arial" w:cs="Arial"/>
                <w:color w:val="auto"/>
                <w:sz w:val="24"/>
                <w:shd w:val="clear" w:color="auto" w:fill="FFFFFF"/>
              </w:rPr>
            </w:pPr>
            <w:r>
              <w:rPr>
                <w:rFonts w:ascii="Arial" w:hAnsi="Arial" w:cs="Arial"/>
                <w:color w:val="auto"/>
                <w:sz w:val="24"/>
                <w:shd w:val="clear" w:color="auto" w:fill="FFFFFF"/>
              </w:rPr>
              <w:t>QDC-3</w:t>
            </w:r>
          </w:p>
        </w:tc>
        <w:tc>
          <w:tcPr>
            <w:tcW w:w="6956" w:type="dxa"/>
            <w:noWrap w:val="0"/>
            <w:vAlign w:val="center"/>
          </w:tcPr>
          <w:p w14:paraId="63AD1B10">
            <w:pPr>
              <w:widowControl/>
              <w:jc w:val="left"/>
              <w:textAlignment w:val="center"/>
              <w:rPr>
                <w:rFonts w:hint="eastAsia" w:ascii="宋体" w:hAnsi="宋体" w:cs="宋体"/>
                <w:b/>
                <w:color w:val="auto"/>
                <w:kern w:val="0"/>
                <w:sz w:val="28"/>
                <w:szCs w:val="28"/>
                <w:lang w:bidi="ar"/>
              </w:rPr>
            </w:pPr>
            <w:r>
              <w:rPr>
                <w:rFonts w:hint="eastAsia" w:ascii="宋体" w:hAnsi="宋体"/>
                <w:color w:val="auto"/>
                <w:sz w:val="24"/>
              </w:rPr>
              <w:t>基于开源代码一站式融合线控底盘、环境感知设备和高性能计算单元设备，能快速搭建多个自动驾驶场景</w:t>
            </w:r>
          </w:p>
        </w:tc>
        <w:tc>
          <w:tcPr>
            <w:tcW w:w="709" w:type="dxa"/>
            <w:noWrap w:val="0"/>
            <w:vAlign w:val="top"/>
          </w:tcPr>
          <w:p w14:paraId="65DE85B4">
            <w:pPr>
              <w:jc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1台</w:t>
            </w:r>
          </w:p>
        </w:tc>
      </w:tr>
      <w:tr w14:paraId="3DF9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1659" w:type="dxa"/>
            <w:vMerge w:val="continue"/>
            <w:noWrap w:val="0"/>
            <w:vAlign w:val="top"/>
          </w:tcPr>
          <w:p w14:paraId="1E540422">
            <w:pPr>
              <w:jc w:val="left"/>
              <w:rPr>
                <w:rFonts w:hint="eastAsia" w:ascii="宋体" w:hAnsi="宋体" w:cs="宋体"/>
                <w:b/>
                <w:color w:val="auto"/>
                <w:kern w:val="0"/>
                <w:sz w:val="28"/>
                <w:szCs w:val="28"/>
                <w:lang w:bidi="ar"/>
              </w:rPr>
            </w:pPr>
          </w:p>
        </w:tc>
        <w:tc>
          <w:tcPr>
            <w:tcW w:w="3188" w:type="dxa"/>
            <w:noWrap w:val="0"/>
            <w:vAlign w:val="center"/>
          </w:tcPr>
          <w:p w14:paraId="56DE0D47">
            <w:pPr>
              <w:widowControl/>
              <w:jc w:val="left"/>
              <w:textAlignment w:val="center"/>
              <w:rPr>
                <w:rFonts w:hint="eastAsia" w:ascii="宋体" w:hAnsi="宋体" w:cs="宋体"/>
                <w:b/>
                <w:color w:val="auto"/>
                <w:kern w:val="0"/>
                <w:sz w:val="28"/>
                <w:szCs w:val="28"/>
                <w:lang w:bidi="ar"/>
              </w:rPr>
            </w:pPr>
            <w:r>
              <w:rPr>
                <w:rFonts w:hint="eastAsia" w:ascii="宋体" w:hAnsi="宋体" w:cs="宋体"/>
                <w:bCs/>
                <w:color w:val="auto"/>
                <w:sz w:val="24"/>
              </w:rPr>
              <w:t>可移动一体化V2x感知基站</w:t>
            </w:r>
          </w:p>
        </w:tc>
        <w:tc>
          <w:tcPr>
            <w:tcW w:w="1706" w:type="dxa"/>
            <w:noWrap w:val="0"/>
            <w:vAlign w:val="top"/>
          </w:tcPr>
          <w:p w14:paraId="0F6A2133">
            <w:pPr>
              <w:widowControl/>
              <w:jc w:val="center"/>
              <w:textAlignment w:val="center"/>
              <w:rPr>
                <w:rFonts w:hint="eastAsia" w:ascii="Arial" w:hAnsi="Arial" w:cs="Arial"/>
                <w:color w:val="auto"/>
                <w:sz w:val="24"/>
                <w:shd w:val="clear" w:color="auto" w:fill="FFFFFF"/>
              </w:rPr>
            </w:pPr>
            <w:r>
              <w:rPr>
                <w:rFonts w:ascii="Arial" w:hAnsi="Arial" w:cs="Arial"/>
                <w:color w:val="auto"/>
                <w:sz w:val="24"/>
                <w:shd w:val="clear" w:color="auto" w:fill="FFFFFF"/>
              </w:rPr>
              <w:t>QDC-3</w:t>
            </w:r>
          </w:p>
        </w:tc>
        <w:tc>
          <w:tcPr>
            <w:tcW w:w="6956" w:type="dxa"/>
            <w:noWrap w:val="0"/>
            <w:vAlign w:val="center"/>
          </w:tcPr>
          <w:p w14:paraId="159D56C4">
            <w:pPr>
              <w:widowControl/>
              <w:jc w:val="left"/>
              <w:textAlignment w:val="center"/>
              <w:rPr>
                <w:rFonts w:hint="eastAsia" w:ascii="宋体" w:hAnsi="宋体" w:cs="宋体"/>
                <w:b/>
                <w:color w:val="auto"/>
                <w:kern w:val="0"/>
                <w:sz w:val="28"/>
                <w:szCs w:val="28"/>
                <w:lang w:bidi="ar"/>
              </w:rPr>
            </w:pPr>
            <w:r>
              <w:rPr>
                <w:rFonts w:ascii="宋体" w:hAnsi="宋体"/>
                <w:color w:val="auto"/>
                <w:sz w:val="24"/>
              </w:rPr>
              <w:t>实训台配教板，完整显示双向逆变充放电式电机控制器,永磁同步电机，P档控制器，档位控制器，网关，组</w:t>
            </w:r>
            <w:r>
              <w:rPr>
                <w:rFonts w:hint="eastAsia" w:ascii="宋体" w:hAnsi="宋体"/>
                <w:color w:val="auto"/>
                <w:sz w:val="24"/>
              </w:rPr>
              <w:t>合</w:t>
            </w:r>
            <w:r>
              <w:rPr>
                <w:rFonts w:ascii="宋体" w:hAnsi="宋体"/>
                <w:color w:val="auto"/>
                <w:sz w:val="24"/>
              </w:rPr>
              <w:t>仪表，车身控制器，启动按钮，转向轴锁，钥匙ECU</w:t>
            </w:r>
          </w:p>
        </w:tc>
        <w:tc>
          <w:tcPr>
            <w:tcW w:w="709" w:type="dxa"/>
            <w:noWrap w:val="0"/>
            <w:vAlign w:val="top"/>
          </w:tcPr>
          <w:p w14:paraId="236C956C">
            <w:pPr>
              <w:jc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1台</w:t>
            </w:r>
          </w:p>
        </w:tc>
      </w:tr>
      <w:tr w14:paraId="1CF9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659" w:type="dxa"/>
            <w:vMerge w:val="continue"/>
            <w:noWrap w:val="0"/>
            <w:vAlign w:val="top"/>
          </w:tcPr>
          <w:p w14:paraId="107F43CB">
            <w:pPr>
              <w:jc w:val="left"/>
              <w:rPr>
                <w:rFonts w:hint="eastAsia" w:ascii="宋体" w:hAnsi="宋体" w:cs="宋体"/>
                <w:b/>
                <w:color w:val="auto"/>
                <w:kern w:val="0"/>
                <w:sz w:val="28"/>
                <w:szCs w:val="28"/>
                <w:lang w:bidi="ar"/>
              </w:rPr>
            </w:pPr>
          </w:p>
        </w:tc>
        <w:tc>
          <w:tcPr>
            <w:tcW w:w="3188" w:type="dxa"/>
            <w:noWrap w:val="0"/>
            <w:vAlign w:val="center"/>
          </w:tcPr>
          <w:p w14:paraId="103E30F0">
            <w:pPr>
              <w:widowControl/>
              <w:jc w:val="left"/>
              <w:textAlignment w:val="center"/>
              <w:rPr>
                <w:rFonts w:hint="eastAsia" w:ascii="宋体" w:hAnsi="宋体" w:cs="宋体"/>
                <w:b/>
                <w:color w:val="auto"/>
                <w:kern w:val="0"/>
                <w:sz w:val="28"/>
                <w:szCs w:val="28"/>
                <w:lang w:bidi="ar"/>
              </w:rPr>
            </w:pPr>
            <w:r>
              <w:rPr>
                <w:rFonts w:hint="eastAsia" w:ascii="宋体" w:hAnsi="宋体" w:cs="宋体"/>
                <w:bCs/>
                <w:color w:val="auto"/>
                <w:sz w:val="24"/>
              </w:rPr>
              <w:t>车联网集成应用考训台</w:t>
            </w:r>
          </w:p>
        </w:tc>
        <w:tc>
          <w:tcPr>
            <w:tcW w:w="1706" w:type="dxa"/>
            <w:noWrap w:val="0"/>
            <w:vAlign w:val="top"/>
          </w:tcPr>
          <w:p w14:paraId="3635012C">
            <w:pPr>
              <w:widowControl/>
              <w:jc w:val="center"/>
              <w:textAlignment w:val="center"/>
              <w:rPr>
                <w:rFonts w:hint="eastAsia" w:ascii="Arial" w:hAnsi="Arial" w:cs="Arial"/>
                <w:color w:val="auto"/>
                <w:sz w:val="24"/>
                <w:shd w:val="clear" w:color="auto" w:fill="FFFFFF"/>
              </w:rPr>
            </w:pPr>
            <w:r>
              <w:rPr>
                <w:rFonts w:ascii="Arial" w:hAnsi="Arial" w:cs="Arial"/>
                <w:color w:val="auto"/>
                <w:sz w:val="24"/>
                <w:shd w:val="clear" w:color="auto" w:fill="FFFFFF"/>
              </w:rPr>
              <w:t>QDC-3</w:t>
            </w:r>
          </w:p>
        </w:tc>
        <w:tc>
          <w:tcPr>
            <w:tcW w:w="6956" w:type="dxa"/>
            <w:noWrap w:val="0"/>
            <w:vAlign w:val="center"/>
          </w:tcPr>
          <w:p w14:paraId="5E93E1FE">
            <w:pPr>
              <w:widowControl/>
              <w:jc w:val="left"/>
              <w:textAlignment w:val="center"/>
              <w:rPr>
                <w:rFonts w:hint="eastAsia" w:ascii="宋体" w:hAnsi="宋体" w:cs="宋体"/>
                <w:b/>
                <w:color w:val="auto"/>
                <w:kern w:val="0"/>
                <w:sz w:val="28"/>
                <w:szCs w:val="28"/>
                <w:lang w:bidi="ar"/>
              </w:rPr>
            </w:pPr>
            <w:r>
              <w:rPr>
                <w:rFonts w:hint="eastAsia" w:ascii="宋体" w:hAnsi="宋体"/>
                <w:color w:val="auto"/>
                <w:sz w:val="24"/>
                <w:lang w:val="en-US" w:eastAsia="zh-CN"/>
              </w:rPr>
              <w:t>各</w:t>
            </w:r>
            <w:r>
              <w:rPr>
                <w:rFonts w:ascii="宋体" w:hAnsi="宋体"/>
                <w:color w:val="auto"/>
                <w:sz w:val="24"/>
              </w:rPr>
              <w:t>主要部件安装在平台上，电气连接方式与实车相同，断电后可以方便拆卸，在拆装连线过程掌握高压系统零部件拆装要点和安全保护。</w:t>
            </w:r>
          </w:p>
        </w:tc>
        <w:tc>
          <w:tcPr>
            <w:tcW w:w="709" w:type="dxa"/>
            <w:noWrap w:val="0"/>
            <w:vAlign w:val="top"/>
          </w:tcPr>
          <w:p w14:paraId="568F8121">
            <w:pPr>
              <w:jc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1台</w:t>
            </w:r>
          </w:p>
        </w:tc>
      </w:tr>
      <w:tr w14:paraId="5394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1659" w:type="dxa"/>
            <w:vMerge w:val="restart"/>
            <w:noWrap w:val="0"/>
            <w:vAlign w:val="center"/>
          </w:tcPr>
          <w:p w14:paraId="1A7F354E">
            <w:pPr>
              <w:widowControl/>
              <w:jc w:val="center"/>
              <w:textAlignment w:val="center"/>
              <w:rPr>
                <w:rFonts w:hint="eastAsia" w:ascii="宋体" w:hAnsi="宋体" w:cs="宋体"/>
                <w:b/>
                <w:color w:val="auto"/>
                <w:kern w:val="0"/>
                <w:sz w:val="28"/>
                <w:szCs w:val="28"/>
                <w:lang w:bidi="ar"/>
              </w:rPr>
            </w:pPr>
            <w:r>
              <w:rPr>
                <w:rFonts w:hint="eastAsia" w:ascii="宋体" w:hAnsi="宋体" w:cs="宋体"/>
                <w:color w:val="auto"/>
                <w:kern w:val="0"/>
                <w:sz w:val="24"/>
                <w:lang w:bidi="ar"/>
              </w:rPr>
              <w:t>液压与传动实验室</w:t>
            </w:r>
          </w:p>
        </w:tc>
        <w:tc>
          <w:tcPr>
            <w:tcW w:w="3188" w:type="dxa"/>
            <w:noWrap w:val="0"/>
            <w:vAlign w:val="center"/>
          </w:tcPr>
          <w:p w14:paraId="0BF50B10">
            <w:pPr>
              <w:widowControl/>
              <w:jc w:val="left"/>
              <w:textAlignment w:val="center"/>
              <w:rPr>
                <w:rFonts w:hint="eastAsia" w:ascii="宋体" w:hAnsi="宋体"/>
                <w:color w:val="auto"/>
                <w:sz w:val="24"/>
              </w:rPr>
            </w:pPr>
            <w:r>
              <w:rPr>
                <w:rFonts w:hint="eastAsia" w:ascii="宋体" w:hAnsi="宋体"/>
                <w:color w:val="auto"/>
                <w:sz w:val="24"/>
              </w:rPr>
              <w:t>便携式气压传动基础实训箱</w:t>
            </w:r>
          </w:p>
        </w:tc>
        <w:tc>
          <w:tcPr>
            <w:tcW w:w="1706" w:type="dxa"/>
            <w:noWrap w:val="0"/>
            <w:vAlign w:val="center"/>
          </w:tcPr>
          <w:p w14:paraId="79B9096A">
            <w:pPr>
              <w:widowControl/>
              <w:jc w:val="center"/>
              <w:textAlignment w:val="center"/>
              <w:rPr>
                <w:rFonts w:hint="eastAsia" w:ascii="宋体" w:hAnsi="宋体" w:cs="宋体"/>
                <w:color w:val="auto"/>
                <w:kern w:val="0"/>
                <w:sz w:val="24"/>
                <w:lang w:bidi="ar"/>
              </w:rPr>
            </w:pPr>
            <w:r>
              <w:rPr>
                <w:rFonts w:ascii="Arial" w:hAnsi="Arial" w:cs="Arial"/>
                <w:color w:val="auto"/>
                <w:sz w:val="24"/>
                <w:shd w:val="clear" w:color="auto" w:fill="FFFFFF"/>
              </w:rPr>
              <w:t>QP01</w:t>
            </w:r>
          </w:p>
        </w:tc>
        <w:tc>
          <w:tcPr>
            <w:tcW w:w="6956" w:type="dxa"/>
            <w:noWrap w:val="0"/>
            <w:vAlign w:val="center"/>
          </w:tcPr>
          <w:p w14:paraId="6FA5AA05">
            <w:pPr>
              <w:widowControl/>
              <w:jc w:val="left"/>
              <w:textAlignment w:val="center"/>
              <w:rPr>
                <w:rFonts w:hint="eastAsia" w:ascii="宋体" w:hAnsi="宋体"/>
                <w:color w:val="auto"/>
                <w:sz w:val="24"/>
              </w:rPr>
            </w:pPr>
            <w:r>
              <w:rPr>
                <w:rFonts w:ascii="宋体" w:hAnsi="宋体"/>
                <w:color w:val="auto"/>
                <w:sz w:val="24"/>
              </w:rPr>
              <w:t>气动PLC控制综合实验台液压实训装置</w:t>
            </w:r>
          </w:p>
        </w:tc>
        <w:tc>
          <w:tcPr>
            <w:tcW w:w="709" w:type="dxa"/>
            <w:noWrap w:val="0"/>
            <w:vAlign w:val="center"/>
          </w:tcPr>
          <w:p w14:paraId="1140C95A">
            <w:pPr>
              <w:widowControl/>
              <w:jc w:val="center"/>
              <w:textAlignment w:val="center"/>
              <w:rPr>
                <w:rFonts w:hint="eastAsia" w:ascii="宋体" w:hAnsi="宋体" w:cs="宋体"/>
                <w:color w:val="auto"/>
                <w:kern w:val="0"/>
                <w:sz w:val="24"/>
                <w:lang w:bidi="ar"/>
              </w:rPr>
            </w:pPr>
            <w:r>
              <w:rPr>
                <w:rFonts w:hint="eastAsia" w:ascii="宋体" w:hAnsi="宋体" w:cs="宋体"/>
                <w:color w:val="auto"/>
                <w:kern w:val="0"/>
                <w:sz w:val="24"/>
                <w:lang w:bidi="ar"/>
              </w:rPr>
              <w:t>1台</w:t>
            </w:r>
          </w:p>
        </w:tc>
      </w:tr>
      <w:tr w14:paraId="6E2FF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659" w:type="dxa"/>
            <w:vMerge w:val="continue"/>
            <w:noWrap w:val="0"/>
            <w:vAlign w:val="center"/>
          </w:tcPr>
          <w:p w14:paraId="35B51E43">
            <w:pPr>
              <w:jc w:val="center"/>
              <w:rPr>
                <w:rFonts w:hint="eastAsia" w:ascii="宋体" w:hAnsi="宋体" w:cs="宋体"/>
                <w:b/>
                <w:color w:val="auto"/>
                <w:kern w:val="0"/>
                <w:sz w:val="28"/>
                <w:szCs w:val="28"/>
                <w:lang w:bidi="ar"/>
              </w:rPr>
            </w:pPr>
          </w:p>
        </w:tc>
        <w:tc>
          <w:tcPr>
            <w:tcW w:w="3188" w:type="dxa"/>
            <w:noWrap w:val="0"/>
            <w:vAlign w:val="center"/>
          </w:tcPr>
          <w:p w14:paraId="60C998F9">
            <w:pPr>
              <w:widowControl/>
              <w:jc w:val="left"/>
              <w:textAlignment w:val="center"/>
              <w:rPr>
                <w:rFonts w:hint="eastAsia" w:ascii="宋体" w:hAnsi="宋体"/>
                <w:color w:val="auto"/>
                <w:sz w:val="24"/>
              </w:rPr>
            </w:pPr>
            <w:r>
              <w:rPr>
                <w:rFonts w:hint="eastAsia" w:ascii="宋体" w:hAnsi="宋体"/>
                <w:color w:val="auto"/>
                <w:sz w:val="24"/>
              </w:rPr>
              <w:t>液压与气动传动综合实训台</w:t>
            </w:r>
          </w:p>
        </w:tc>
        <w:tc>
          <w:tcPr>
            <w:tcW w:w="1706" w:type="dxa"/>
            <w:noWrap w:val="0"/>
            <w:vAlign w:val="center"/>
          </w:tcPr>
          <w:p w14:paraId="36F05E5D">
            <w:pPr>
              <w:widowControl/>
              <w:jc w:val="center"/>
              <w:textAlignment w:val="center"/>
              <w:rPr>
                <w:rFonts w:hint="eastAsia" w:ascii="宋体" w:hAnsi="宋体" w:cs="宋体"/>
                <w:color w:val="auto"/>
                <w:kern w:val="0"/>
                <w:sz w:val="24"/>
                <w:lang w:bidi="ar"/>
              </w:rPr>
            </w:pPr>
            <w:r>
              <w:rPr>
                <w:rFonts w:ascii="Arial" w:hAnsi="Arial" w:cs="Arial"/>
                <w:color w:val="auto"/>
                <w:sz w:val="24"/>
                <w:shd w:val="clear" w:color="auto" w:fill="FFFFFF"/>
              </w:rPr>
              <w:t>ZRYY-03</w:t>
            </w:r>
          </w:p>
        </w:tc>
        <w:tc>
          <w:tcPr>
            <w:tcW w:w="6956" w:type="dxa"/>
            <w:noWrap w:val="0"/>
            <w:vAlign w:val="center"/>
          </w:tcPr>
          <w:p w14:paraId="2837E1A2">
            <w:pPr>
              <w:widowControl/>
              <w:jc w:val="left"/>
              <w:textAlignment w:val="center"/>
              <w:rPr>
                <w:rFonts w:hint="eastAsia" w:ascii="宋体" w:hAnsi="宋体"/>
                <w:color w:val="auto"/>
                <w:sz w:val="24"/>
              </w:rPr>
            </w:pPr>
            <w:r>
              <w:rPr>
                <w:rFonts w:ascii="宋体" w:hAnsi="宋体"/>
                <w:color w:val="auto"/>
                <w:sz w:val="24"/>
              </w:rPr>
              <w:t>液压与气动传动综合实训台</w:t>
            </w:r>
          </w:p>
        </w:tc>
        <w:tc>
          <w:tcPr>
            <w:tcW w:w="709" w:type="dxa"/>
            <w:noWrap w:val="0"/>
            <w:vAlign w:val="center"/>
          </w:tcPr>
          <w:p w14:paraId="39432110">
            <w:pPr>
              <w:widowControl/>
              <w:jc w:val="center"/>
              <w:textAlignment w:val="center"/>
              <w:rPr>
                <w:rFonts w:hint="eastAsia" w:ascii="宋体" w:hAnsi="宋体" w:cs="宋体"/>
                <w:color w:val="auto"/>
                <w:kern w:val="0"/>
                <w:sz w:val="24"/>
                <w:lang w:bidi="ar"/>
              </w:rPr>
            </w:pPr>
            <w:r>
              <w:rPr>
                <w:rFonts w:hint="eastAsia" w:ascii="宋体" w:hAnsi="宋体" w:cs="宋体"/>
                <w:color w:val="auto"/>
                <w:kern w:val="0"/>
                <w:sz w:val="24"/>
                <w:lang w:bidi="ar"/>
              </w:rPr>
              <w:t>1台</w:t>
            </w:r>
          </w:p>
        </w:tc>
      </w:tr>
      <w:tr w14:paraId="1251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659" w:type="dxa"/>
            <w:vMerge w:val="continue"/>
            <w:noWrap w:val="0"/>
            <w:vAlign w:val="center"/>
          </w:tcPr>
          <w:p w14:paraId="788B1A3A">
            <w:pPr>
              <w:jc w:val="center"/>
              <w:rPr>
                <w:rFonts w:hint="eastAsia" w:ascii="宋体" w:hAnsi="宋体" w:cs="宋体"/>
                <w:b/>
                <w:color w:val="auto"/>
                <w:kern w:val="0"/>
                <w:sz w:val="28"/>
                <w:szCs w:val="28"/>
                <w:lang w:bidi="ar"/>
              </w:rPr>
            </w:pPr>
          </w:p>
        </w:tc>
        <w:tc>
          <w:tcPr>
            <w:tcW w:w="3188" w:type="dxa"/>
            <w:noWrap w:val="0"/>
            <w:vAlign w:val="center"/>
          </w:tcPr>
          <w:p w14:paraId="034909F4">
            <w:pPr>
              <w:widowControl/>
              <w:jc w:val="left"/>
              <w:textAlignment w:val="center"/>
              <w:rPr>
                <w:rFonts w:hint="eastAsia" w:ascii="宋体" w:hAnsi="宋体"/>
                <w:color w:val="auto"/>
                <w:sz w:val="24"/>
              </w:rPr>
            </w:pPr>
            <w:r>
              <w:rPr>
                <w:rFonts w:hint="eastAsia" w:ascii="宋体" w:hAnsi="宋体"/>
                <w:color w:val="auto"/>
                <w:sz w:val="24"/>
              </w:rPr>
              <w:t>机电一体化实训室设备</w:t>
            </w:r>
          </w:p>
        </w:tc>
        <w:tc>
          <w:tcPr>
            <w:tcW w:w="1706" w:type="dxa"/>
            <w:noWrap w:val="0"/>
            <w:vAlign w:val="center"/>
          </w:tcPr>
          <w:p w14:paraId="6A108B90">
            <w:pPr>
              <w:widowControl/>
              <w:jc w:val="center"/>
              <w:textAlignment w:val="center"/>
              <w:rPr>
                <w:rFonts w:hint="eastAsia" w:ascii="宋体" w:hAnsi="宋体" w:cs="宋体"/>
                <w:color w:val="auto"/>
                <w:kern w:val="0"/>
                <w:sz w:val="24"/>
                <w:lang w:bidi="ar"/>
              </w:rPr>
            </w:pPr>
            <w:r>
              <w:rPr>
                <w:rFonts w:ascii="Arial" w:hAnsi="Arial" w:cs="Arial"/>
                <w:color w:val="auto"/>
                <w:sz w:val="24"/>
                <w:shd w:val="clear" w:color="auto" w:fill="FFFFFF"/>
              </w:rPr>
              <w:t>MYYA-23A</w:t>
            </w:r>
          </w:p>
        </w:tc>
        <w:tc>
          <w:tcPr>
            <w:tcW w:w="6956" w:type="dxa"/>
            <w:noWrap w:val="0"/>
            <w:vAlign w:val="center"/>
          </w:tcPr>
          <w:p w14:paraId="4BEC52EA">
            <w:pPr>
              <w:widowControl/>
              <w:jc w:val="left"/>
              <w:textAlignment w:val="center"/>
              <w:rPr>
                <w:rFonts w:hint="eastAsia" w:ascii="宋体" w:hAnsi="宋体"/>
                <w:color w:val="auto"/>
                <w:sz w:val="24"/>
              </w:rPr>
            </w:pPr>
            <w:r>
              <w:rPr>
                <w:rFonts w:ascii="宋体" w:hAnsi="宋体"/>
                <w:color w:val="auto"/>
                <w:sz w:val="24"/>
              </w:rPr>
              <w:t>透明液压与气动综合控制实验台</w:t>
            </w:r>
          </w:p>
        </w:tc>
        <w:tc>
          <w:tcPr>
            <w:tcW w:w="709" w:type="dxa"/>
            <w:noWrap w:val="0"/>
            <w:vAlign w:val="center"/>
          </w:tcPr>
          <w:p w14:paraId="24B2FD7B">
            <w:pPr>
              <w:widowControl/>
              <w:jc w:val="center"/>
              <w:textAlignment w:val="center"/>
              <w:rPr>
                <w:rFonts w:hint="eastAsia" w:ascii="宋体" w:hAnsi="宋体" w:cs="宋体"/>
                <w:color w:val="auto"/>
                <w:kern w:val="0"/>
                <w:sz w:val="24"/>
                <w:lang w:bidi="ar"/>
              </w:rPr>
            </w:pPr>
            <w:r>
              <w:rPr>
                <w:rFonts w:hint="eastAsia" w:ascii="宋体" w:hAnsi="宋体" w:cs="宋体"/>
                <w:color w:val="auto"/>
                <w:kern w:val="0"/>
                <w:sz w:val="24"/>
                <w:lang w:bidi="ar"/>
              </w:rPr>
              <w:t>1台</w:t>
            </w:r>
          </w:p>
        </w:tc>
      </w:tr>
    </w:tbl>
    <w:p w14:paraId="3CA4D1AE">
      <w:pPr>
        <w:rPr>
          <w:rFonts w:hint="eastAsia" w:ascii="宋体" w:hAnsi="宋体"/>
          <w:b/>
          <w:bCs/>
          <w:color w:val="auto"/>
          <w:sz w:val="24"/>
        </w:rPr>
      </w:pPr>
    </w:p>
    <w:p w14:paraId="3807DD8F"/>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675A2">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37C955">
                          <w:pPr>
                            <w:pStyle w:val="3"/>
                          </w:pPr>
                          <w:r>
                            <w:fldChar w:fldCharType="begin"/>
                          </w:r>
                          <w:r>
                            <w:instrText xml:space="preserve"> PAGE  \* MERGEFORMAT </w:instrText>
                          </w:r>
                          <w:r>
                            <w:fldChar w:fldCharType="separate"/>
                          </w:r>
                          <w:r>
                            <w:t>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37C955">
                    <w:pPr>
                      <w:pStyle w:val="3"/>
                    </w:pPr>
                    <w:r>
                      <w:fldChar w:fldCharType="begin"/>
                    </w:r>
                    <w:r>
                      <w:instrText xml:space="preserve"> PAGE  \* MERGEFORMAT </w:instrText>
                    </w:r>
                    <w:r>
                      <w:fldChar w:fldCharType="separate"/>
                    </w:r>
                    <w: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BB85C"/>
    <w:multiLevelType w:val="singleLevel"/>
    <w:tmpl w:val="99EBB85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MjViMDdkY2U3YTUyNmQ4NWMxMDJlYWQ0NzM3ZDEifQ=="/>
  </w:docVars>
  <w:rsids>
    <w:rsidRoot w:val="7F4459CD"/>
    <w:rsid w:val="64113B6C"/>
    <w:rsid w:val="7F445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1098</Words>
  <Characters>1203</Characters>
  <Lines>0</Lines>
  <Paragraphs>0</Paragraphs>
  <TotalTime>1</TotalTime>
  <ScaleCrop>false</ScaleCrop>
  <LinksUpToDate>false</LinksUpToDate>
  <CharactersWithSpaces>1208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2024-06-28T06:10:00Z</dcterms:created>
  <dc:creator>执手踏青 </dc:creator>
  <cp:lastModifiedBy>执手踏青 </cp:lastModifiedBy>
  <dcterms:modified xsi:type="dcterms:W3CDTF">2024-07-12T08:44:23Z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21BE1D78E7CA4406BE1BCA88CA6921FD_11</vt:lpwstr>
  </property>
</Properties>
</file>