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autoSpaceDE/>
        <w:autoSpaceDN/>
        <w:spacing w:before="0" w:after="0" w:line="240" w:lineRule="auto"/>
        <w:ind w:right="0" w:firstLine="0"/>
        <w:jc w:val="center"/>
        <w:rPr>
          <w:rFonts w:hint="eastAsia" w:ascii="华文中宋" w:hAnsi="华文中宋" w:eastAsia="华文中宋" w:cs="华文中宋"/>
          <w:b/>
          <w:bCs w:val="0"/>
          <w:color w:val="auto"/>
          <w:position w:val="0"/>
          <w:sz w:val="32"/>
          <w:szCs w:val="32"/>
          <w:lang w:val="en-US" w:eastAsia="zh-CN"/>
        </w:rPr>
      </w:pPr>
      <w:r>
        <w:rPr>
          <w:rFonts w:hint="eastAsia" w:ascii="华文中宋" w:hAnsi="华文中宋" w:eastAsia="华文中宋" w:cs="华文中宋"/>
          <w:b/>
          <w:bCs w:val="0"/>
          <w:color w:val="auto"/>
          <w:position w:val="0"/>
          <w:sz w:val="32"/>
          <w:szCs w:val="32"/>
          <w:lang w:val="en-US" w:eastAsia="zh-CN"/>
        </w:rPr>
        <w:t>物流管理专业实验室建设方案</w:t>
      </w:r>
    </w:p>
    <w:p>
      <w:pPr>
        <w:numPr>
          <w:ilvl w:val="0"/>
          <w:numId w:val="0"/>
        </w:numPr>
        <w:ind w:leftChars="0"/>
        <w:jc w:val="lef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1 实验室建设的基本思想</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党的十八大以来，以习近平同志为核心的党中央坚持以人民为中心的发展思想，把人民健康放在优先发展的战略位置，作出“全面推进健康中国建设”的重大决策部署，颁布实施《“健康中国2030”规划纲要》。习近平总书记深刻指出“健康是促进人的全面发展的必然要求，是经济社会发展的基础条件，是民族昌盛和国家富强的重要标志，也是广大人民群众的共同追求”。</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现代物流作为国民经济发展的基础性支柱产业，如何从大健康观念出发，有效贯彻绿色低碳、开放共享、新发展理念，突出现代学院的学科专业优势，从校园快递物流的实际需求为切入点，结合本校物流管理专业发展定位与专业方向，构建产教融合一体发展的综合性实验实训体系，为全校师生提供教学、科研、创新创业及社会服务等，对于推进本校持续健康发展具有重要的现实意义。</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实践教学作为物流管理专业的重要组成部分，应遵循高等教育OBE新发展理念，坚持“问题导向、系统思维”方式，重点以培养</w:t>
      </w:r>
      <w:r>
        <w:rPr>
          <w:rFonts w:hint="default" w:ascii="仿宋" w:hAnsi="仿宋" w:eastAsia="仿宋" w:cs="仿宋"/>
          <w:sz w:val="21"/>
          <w:szCs w:val="21"/>
          <w:lang w:val="en-US" w:eastAsia="zh-CN"/>
        </w:rPr>
        <w:t>学生</w:t>
      </w:r>
      <w:r>
        <w:rPr>
          <w:rFonts w:hint="eastAsia" w:ascii="仿宋" w:hAnsi="仿宋" w:eastAsia="仿宋" w:cs="仿宋"/>
          <w:sz w:val="21"/>
          <w:szCs w:val="21"/>
          <w:lang w:val="en-US" w:eastAsia="zh-CN"/>
        </w:rPr>
        <w:t>发现问题、分析问题和解决问题的专业技能为核心，全面提高学生理论联系实际的综合工作能力，</w:t>
      </w:r>
      <w:r>
        <w:rPr>
          <w:rFonts w:hint="default" w:ascii="仿宋" w:hAnsi="仿宋" w:eastAsia="仿宋" w:cs="仿宋"/>
          <w:sz w:val="21"/>
          <w:szCs w:val="21"/>
          <w:lang w:val="en-US" w:eastAsia="zh-CN"/>
        </w:rPr>
        <w:t>为学生</w:t>
      </w:r>
      <w:r>
        <w:rPr>
          <w:rFonts w:hint="eastAsia" w:ascii="仿宋" w:hAnsi="仿宋" w:eastAsia="仿宋" w:cs="仿宋"/>
          <w:sz w:val="21"/>
          <w:szCs w:val="21"/>
          <w:lang w:val="en-US" w:eastAsia="zh-CN"/>
        </w:rPr>
        <w:t>职业生涯发展</w:t>
      </w:r>
      <w:r>
        <w:rPr>
          <w:rFonts w:hint="default" w:ascii="仿宋" w:hAnsi="仿宋" w:eastAsia="仿宋" w:cs="仿宋"/>
          <w:sz w:val="21"/>
          <w:szCs w:val="21"/>
          <w:lang w:val="en-US" w:eastAsia="zh-CN"/>
        </w:rPr>
        <w:t>打下良好的</w:t>
      </w:r>
      <w:r>
        <w:rPr>
          <w:rFonts w:hint="eastAsia" w:ascii="仿宋" w:hAnsi="仿宋" w:eastAsia="仿宋" w:cs="仿宋"/>
          <w:sz w:val="21"/>
          <w:szCs w:val="21"/>
          <w:lang w:val="en-US" w:eastAsia="zh-CN"/>
        </w:rPr>
        <w:t>专业</w:t>
      </w:r>
      <w:r>
        <w:rPr>
          <w:rFonts w:hint="default" w:ascii="仿宋" w:hAnsi="仿宋" w:eastAsia="仿宋" w:cs="仿宋"/>
          <w:sz w:val="21"/>
          <w:szCs w:val="21"/>
          <w:lang w:val="en-US" w:eastAsia="zh-CN"/>
        </w:rPr>
        <w:t>基础</w:t>
      </w:r>
      <w:r>
        <w:rPr>
          <w:rFonts w:hint="eastAsia" w:ascii="仿宋" w:hAnsi="仿宋" w:eastAsia="仿宋" w:cs="仿宋"/>
          <w:sz w:val="21"/>
          <w:szCs w:val="21"/>
          <w:lang w:val="en-US" w:eastAsia="zh-CN"/>
        </w:rPr>
        <w:t>。</w:t>
      </w:r>
    </w:p>
    <w:p>
      <w:pPr>
        <w:numPr>
          <w:ilvl w:val="0"/>
          <w:numId w:val="0"/>
        </w:numPr>
        <w:ind w:leftChars="0"/>
        <w:jc w:val="lef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2 实验室建设的必要性</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2.1 政策背景</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国务院办公厅《关于深化产教融合的若干意见》（国办发〔2017〕95号）明确将深入开展产教融合作为促进当前经济社会协调发展的重要举措，构建教育和产业统筹融合发展格局，推进产教融合人才培养改革，深化“引企入教”改革，为学生提供多样化成长路径，增强复合型人才培养能力。</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教育部《关于加快建设高水平本科教育全面提高人才培养能力的意见》（教高〔2018〕2号）要求紧紧围绕全面提高人才培养能力这个核心点，加快形成高水平人才培养体系。</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国务院办公厅《“十四五”现代物流发展规划》（国办发〔2022〕17号）要求强化现代物流对社会民生的服务保障。围绕更好满足城乡居民生活需要，适应扩大内需、消费升级趋势，优化完善商贸、快递物流网络。加强重点生活物资保障能力，加快建立覆盖冷链物流全链条的动态监测和追溯体系，保障食品药品消费安全。</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国务院办公厅《“十四五”冷链物流发展规划》（国办发〔2021〕46号）提出要完善专业人才培养体系。支持有条件的普通本科院校和职业院校开设冷链物流相关专业或课程，重点培养冷链产品供应链管理、冷链物流系统规划、冷链物流技术和企业运营等方面的专业人才。鼓励高等院校深入对接行业需求，以应用为导向发展冷链物流继续教育。完善政产学研用结合的多层次冷链物流人才培养体系。</w:t>
      </w:r>
    </w:p>
    <w:p>
      <w:pPr>
        <w:numPr>
          <w:ilvl w:val="0"/>
          <w:numId w:val="0"/>
        </w:numPr>
        <w:ind w:leftChars="0"/>
        <w:jc w:val="left"/>
        <w:rPr>
          <w:rFonts w:hint="default" w:ascii="宋体" w:hAnsi="宋体" w:eastAsia="宋体" w:cs="宋体"/>
          <w:b/>
          <w:bCs/>
          <w:sz w:val="24"/>
          <w:szCs w:val="24"/>
          <w:lang w:val="en-US" w:eastAsia="zh-CN"/>
        </w:rPr>
      </w:pPr>
      <w:r>
        <w:rPr>
          <w:rFonts w:hint="eastAsia" w:ascii="方正仿宋_GB2312" w:hAnsi="方正仿宋_GB2312" w:eastAsia="方正仿宋_GB2312" w:cs="方正仿宋_GB2312"/>
          <w:b/>
          <w:bCs/>
          <w:sz w:val="24"/>
          <w:szCs w:val="24"/>
          <w:lang w:val="en-US" w:eastAsia="zh-CN"/>
        </w:rPr>
        <w:t>2.2 行业发展背景</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随着我国经济持续稳定发展，国民生活品质不断提高，对现代物流尤其是冷链物流的需求量和服务质量要求也越来越高。在国家政策的大力支持下，我国冷链物流行业将进入快速增长时期。预计2024年，我国冷链物流行业市场规模将达到5500亿，冷链物流行业市场年增长率将保持13%以上。与此同时，我国冷链物流发展水平还相对较低，冷链物流体系尚未完善，冷链基础设施条件不足，冷链物流技术装备水平还不高，再加上冷链物流成本过高等原因，导致我国果蔬的产后损耗率一直居高不下，其中水果的平均损耗率为17.9%，蔬菜的平均损耗率为22.1%，而在发达国家该比率则控制在5%以下，美国仅有1%～2%。因此，我国迫切需要完善冷链物流体系来保证果蔬品质，减少产后损失，从而达到全面提升国民生活品质和降低冷链物流成本的基本目标。</w:t>
      </w:r>
    </w:p>
    <w:p>
      <w:pPr>
        <w:numPr>
          <w:ilvl w:val="0"/>
          <w:numId w:val="0"/>
        </w:numPr>
        <w:ind w:left="0" w:leftChars="0" w:firstLine="420" w:firstLineChars="200"/>
        <w:jc w:val="left"/>
        <w:rPr>
          <w:rFonts w:hint="eastAsia"/>
          <w:lang w:val="en-US" w:eastAsia="zh-CN"/>
        </w:rPr>
      </w:pPr>
      <w:r>
        <w:rPr>
          <w:rFonts w:hint="eastAsia" w:ascii="仿宋" w:hAnsi="仿宋" w:eastAsia="仿宋" w:cs="仿宋"/>
          <w:sz w:val="21"/>
          <w:szCs w:val="21"/>
          <w:lang w:val="en-US" w:eastAsia="zh-CN"/>
        </w:rPr>
        <w:t>随着新零售、新餐饮等更多新业态的爆发，冷链物流行业出现多元化发展，对冷链物流市场提出了更高的要求，冷链物流对专业性和技术性的要求不断提高，对从业人员的要求也越来越高，不仅需要掌握物流管理、物流工程技术、农产品保鲜、食品冷藏冷冻等技术，还要懂得物联网，云计算，大数据，区块链、5G等信息技术。因此，冷链物流行业急需一批既懂管理又懂技术的新型专业人才。作为承担人才培养的高校，必须精准对接行业需求，培养和储备能够提供全面解决方案的复合型专业人才。</w:t>
      </w:r>
    </w:p>
    <w:p>
      <w:pPr>
        <w:numPr>
          <w:ilvl w:val="0"/>
          <w:numId w:val="0"/>
        </w:numPr>
        <w:ind w:leftChars="0"/>
        <w:jc w:val="lef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2.3 学校发展背景</w:t>
      </w:r>
    </w:p>
    <w:p>
      <w:pPr>
        <w:numPr>
          <w:ilvl w:val="0"/>
          <w:numId w:val="0"/>
        </w:numPr>
        <w:ind w:left="0" w:leftChars="0" w:firstLine="420" w:firstLineChars="200"/>
        <w:jc w:val="lef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按照我校确立的“应用型本科人才”培养定位，物流管理专业依托学校骨干学科优势和资源条件，以国家物流发展的政策为导向，遵循“安全高效、绿色低碳”发展理念，面向区域经济和社会发展需要，特别是针对大健康产业的物流需求，重点打造医药物流和冷链物流两大专业方向，通过科学制定专业人才培养方案和校内外实践教学体系的构建，共同创新产教融合人才培养模式，将物流专业打造成为医药物流、冷链物流特色鲜明的应用型本科物流管理专业，为社会民生的服务保障培养高质量的应用型人才，赋能区域经济持续稳定发展。</w:t>
      </w:r>
    </w:p>
    <w:p>
      <w:pPr>
        <w:numPr>
          <w:ilvl w:val="0"/>
          <w:numId w:val="0"/>
        </w:numPr>
        <w:ind w:leftChars="0"/>
        <w:jc w:val="lef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3 实验室建设目标</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实验室建设的总体目标以校园实际需求为导向，根据学校“关于构建实践教学体系的实施意见（征求意见稿）”要求，结合物流管理专业发展定位与专业方向，集成应用物联网、云计算、大数据虚拟现实等现代信息技术手段，通过深度</w:t>
      </w:r>
      <w:r>
        <w:rPr>
          <w:rFonts w:hint="default" w:ascii="仿宋" w:hAnsi="仿宋" w:eastAsia="仿宋" w:cs="仿宋"/>
          <w:sz w:val="21"/>
          <w:szCs w:val="21"/>
          <w:lang w:val="en-US" w:eastAsia="zh-CN"/>
        </w:rPr>
        <w:t>产教融合</w:t>
      </w:r>
      <w:r>
        <w:rPr>
          <w:rFonts w:hint="eastAsia" w:ascii="仿宋" w:hAnsi="仿宋" w:eastAsia="仿宋" w:cs="仿宋"/>
          <w:sz w:val="21"/>
          <w:szCs w:val="21"/>
          <w:lang w:val="en-US" w:eastAsia="zh-CN"/>
        </w:rPr>
        <w:t>发展模式，建设智慧校园生态物流实践教学基地、低碳化冷链物流实训中心和供应链虚拟仿真实训中心，打造学校</w:t>
      </w:r>
      <w:r>
        <w:rPr>
          <w:rFonts w:hint="default" w:ascii="仿宋" w:hAnsi="仿宋" w:eastAsia="仿宋" w:cs="仿宋"/>
          <w:sz w:val="21"/>
          <w:szCs w:val="21"/>
          <w:lang w:val="en-US" w:eastAsia="zh-CN"/>
        </w:rPr>
        <w:t>产教融合特色品牌</w:t>
      </w:r>
      <w:r>
        <w:rPr>
          <w:rFonts w:hint="eastAsia" w:ascii="仿宋" w:hAnsi="仿宋" w:eastAsia="仿宋" w:cs="仿宋"/>
          <w:sz w:val="21"/>
          <w:szCs w:val="21"/>
          <w:lang w:val="en-US" w:eastAsia="zh-CN"/>
        </w:rPr>
        <w:t>，促进“教、科</w:t>
      </w:r>
      <w:bookmarkStart w:id="0" w:name="_GoBack"/>
      <w:bookmarkEnd w:id="0"/>
      <w:r>
        <w:rPr>
          <w:rFonts w:hint="eastAsia" w:ascii="仿宋" w:hAnsi="仿宋" w:eastAsia="仿宋" w:cs="仿宋"/>
          <w:sz w:val="21"/>
          <w:szCs w:val="21"/>
          <w:lang w:val="en-US" w:eastAsia="zh-CN"/>
        </w:rPr>
        <w:t>、研、用”一体化发展，最终建成“本地领先、国内一流、特色鲜明、成效显著”的现代物流综合实验实训平台，</w:t>
      </w:r>
      <w:r>
        <w:rPr>
          <w:rFonts w:hint="default" w:ascii="仿宋" w:hAnsi="仿宋" w:eastAsia="仿宋" w:cs="仿宋"/>
          <w:sz w:val="21"/>
          <w:szCs w:val="21"/>
          <w:lang w:val="en-US" w:eastAsia="zh-CN"/>
        </w:rPr>
        <w:t>为培养高质量复合型、应用型专业人才提供</w:t>
      </w:r>
      <w:r>
        <w:rPr>
          <w:rFonts w:hint="eastAsia" w:ascii="仿宋" w:hAnsi="仿宋" w:eastAsia="仿宋" w:cs="仿宋"/>
          <w:sz w:val="21"/>
          <w:szCs w:val="21"/>
          <w:lang w:val="en-US" w:eastAsia="zh-CN"/>
        </w:rPr>
        <w:t>全方位的综合实验实训环境，如图1所示。</w:t>
      </w:r>
    </w:p>
    <w:p>
      <w:pPr>
        <w:ind w:left="0" w:leftChars="0" w:firstLine="0" w:firstLineChars="0"/>
      </w:pPr>
      <w:r>
        <w:drawing>
          <wp:inline distT="0" distB="0" distL="114300" distR="114300">
            <wp:extent cx="5267960" cy="3058160"/>
            <wp:effectExtent l="0" t="0" r="508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67960" cy="3058160"/>
                    </a:xfrm>
                    <a:prstGeom prst="rect">
                      <a:avLst/>
                    </a:prstGeom>
                    <a:noFill/>
                    <a:ln>
                      <a:noFill/>
                    </a:ln>
                  </pic:spPr>
                </pic:pic>
              </a:graphicData>
            </a:graphic>
          </wp:inline>
        </w:drawing>
      </w:r>
    </w:p>
    <w:p>
      <w:pPr>
        <w:numPr>
          <w:ilvl w:val="0"/>
          <w:numId w:val="0"/>
        </w:numPr>
        <w:ind w:left="0" w:leftChars="0" w:firstLine="420" w:firstLineChars="20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图1 物流管理专业实验建设总体目标</w:t>
      </w:r>
    </w:p>
    <w:p>
      <w:pPr>
        <w:numPr>
          <w:ilvl w:val="0"/>
          <w:numId w:val="0"/>
        </w:numPr>
        <w:ind w:leftChars="0"/>
        <w:jc w:val="lef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4 建设内容</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4.1 低碳化冷链物流实训中心建设</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低碳化冷链物流实训中心的建设紧紧围绕冷链物流行业的发展需求，以培养高质量的紧缺应用型人才为目标，采取全新的教育教学理念，基于冷链物流的基础理论和核心流程，紧扣学校教学实训内容，兼顾冷链物流专业教学大纲和技能实训要求,综合应用先进的物联网技术、全程冷链物流技术等，形成集教学、实训、研发、应用于一体的创新型冷链物流实训中心。在满足本校物流及相关专业实践教学和服务本地冷链物流人才培训需求的同时，通过行业企业对接、学术交流等，使其成为连接政府、企业、学校的载体，最终将建成区域性冷链物流教育示范中心，助力我国冷链物流行业持续健康发展。</w:t>
      </w:r>
    </w:p>
    <w:p>
      <w:pPr>
        <w:numPr>
          <w:ilvl w:val="0"/>
          <w:numId w:val="0"/>
        </w:numPr>
        <w:ind w:left="0" w:leftChars="0" w:firstLine="420" w:firstLineChars="20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冷链物流实训室以智能多温冷库为载体，以冷链储运为依托，集成物联网技术、传感器技术、5G技术、人工智能、大数据、云计算、虚拟仿真等先进技术，满足学生实训、教师科研、企业培训等多方位需求。主要建设内容包括冷链仓储、冷链运输、冷链物流大数据、冷链物流虚拟仿真、冷链物流文化互动系统五大功能模块。如冷链仓储区域集成传感器技术、物联网技术、条码技术、云平台等先进技术手段，实现冷链仓储的流程化、数据可视化。如 冷链仓储配送管理系统结合物联网、区块链、GPRS、5G、RFID、传感器等先进技术，以RFID温湿度标签为底层信息承载体，贯穿整个冷链仓储配送环节，实现全局化、可视化、协同化精益仓储管理，如图2所示。</w:t>
      </w:r>
    </w:p>
    <w:p>
      <w:pPr>
        <w:numPr>
          <w:ilvl w:val="0"/>
          <w:numId w:val="0"/>
        </w:numPr>
        <w:ind w:left="0" w:leftChars="0" w:firstLine="420" w:firstLineChars="200"/>
        <w:jc w:val="left"/>
        <w:rPr>
          <w:rFonts w:hint="default"/>
          <w:lang w:val="en-US" w:eastAsia="zh-CN"/>
        </w:rPr>
      </w:pPr>
      <w:r>
        <w:rPr>
          <w:rFonts w:hint="eastAsia" w:ascii="仿宋" w:hAnsi="仿宋" w:eastAsia="仿宋" w:cs="仿宋"/>
          <w:sz w:val="21"/>
          <w:szCs w:val="21"/>
          <w:lang w:val="en-US" w:eastAsia="zh-CN"/>
        </w:rPr>
        <w:t xml:space="preserve">冷链物流实训中心的整体建设方案详见附件一。 </w:t>
      </w:r>
      <w:r>
        <w:drawing>
          <wp:anchor distT="0" distB="0" distL="114300" distR="114300" simplePos="0" relativeHeight="251659264" behindDoc="0" locked="0" layoutInCell="1" allowOverlap="1">
            <wp:simplePos x="0" y="0"/>
            <wp:positionH relativeFrom="column">
              <wp:posOffset>0</wp:posOffset>
            </wp:positionH>
            <wp:positionV relativeFrom="paragraph">
              <wp:posOffset>205740</wp:posOffset>
            </wp:positionV>
            <wp:extent cx="5337810" cy="3348990"/>
            <wp:effectExtent l="0" t="0" r="11430" b="3810"/>
            <wp:wrapTopAndBottom/>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6"/>
                    <a:stretch>
                      <a:fillRect/>
                    </a:stretch>
                  </pic:blipFill>
                  <pic:spPr>
                    <a:xfrm>
                      <a:off x="0" y="0"/>
                      <a:ext cx="5337810" cy="3348990"/>
                    </a:xfrm>
                    <a:prstGeom prst="rect">
                      <a:avLst/>
                    </a:prstGeom>
                    <a:noFill/>
                    <a:ln>
                      <a:noFill/>
                    </a:ln>
                  </pic:spPr>
                </pic:pic>
              </a:graphicData>
            </a:graphic>
          </wp:anchor>
        </w:drawing>
      </w:r>
    </w:p>
    <w:p>
      <w:pPr>
        <w:numPr>
          <w:ilvl w:val="0"/>
          <w:numId w:val="0"/>
        </w:numPr>
        <w:ind w:leftChars="0"/>
        <w:jc w:val="center"/>
        <w:rPr>
          <w:rFonts w:hint="default" w:ascii="方正仿宋_GB2312" w:hAnsi="方正仿宋_GB2312" w:eastAsia="方正仿宋_GB2312" w:cs="方正仿宋_GB2312"/>
          <w:b/>
          <w:bCs/>
          <w:sz w:val="24"/>
          <w:szCs w:val="24"/>
          <w:lang w:val="en-US" w:eastAsia="zh-CN"/>
        </w:rPr>
      </w:pPr>
      <w:r>
        <w:rPr>
          <w:rFonts w:hint="eastAsia" w:ascii="仿宋" w:hAnsi="仿宋" w:eastAsia="仿宋" w:cs="仿宋"/>
          <w:sz w:val="21"/>
          <w:szCs w:val="21"/>
          <w:lang w:val="en-US" w:eastAsia="zh-CN"/>
        </w:rPr>
        <w:t>图2 冷链仓储配送管理系统功能</w:t>
      </w:r>
    </w:p>
    <w:p>
      <w:pPr>
        <w:numPr>
          <w:ilvl w:val="0"/>
          <w:numId w:val="0"/>
        </w:numPr>
        <w:ind w:leftChars="0"/>
        <w:jc w:val="lef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4.2 数字化物流供应链虚拟仿真实训中心建设</w:t>
      </w:r>
    </w:p>
    <w:p>
      <w:pPr>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数字化物流”是指在仿真和虚拟现实、计算智能、计算机网络、数据库、多媒体和信息等支撑技术的支持下，应用数字技术对物流所涉及的对象和活动进行表达、处理和控制，具有信息化、网络化、智能化、集成化和可视化等特征的技术系统。数字化物流实际上就是通过对物流系统全过程进行数字化描述，采用先进的信息技术手段，实现对物流系统的优化，为人们提供精确、便捷的高质量物流服务。</w:t>
      </w: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p>
    <w:p>
      <w:pPr>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数字化物流供应链虚拟仿真实训中心</w:t>
      </w:r>
      <w:r>
        <w:rPr>
          <w:rFonts w:hint="eastAsia" w:ascii="仿宋" w:hAnsi="仿宋" w:eastAsia="仿宋" w:cs="仿宋"/>
          <w:sz w:val="21"/>
          <w:szCs w:val="21"/>
          <w:lang w:val="zh-CN" w:eastAsia="zh-CN"/>
        </w:rPr>
        <w:t>的建设将进一步完善实</w:t>
      </w:r>
      <w:r>
        <w:rPr>
          <w:rFonts w:hint="eastAsia" w:ascii="仿宋" w:hAnsi="仿宋" w:eastAsia="仿宋" w:cs="仿宋"/>
          <w:sz w:val="21"/>
          <w:szCs w:val="21"/>
          <w:lang w:val="en-US" w:eastAsia="zh-CN"/>
        </w:rPr>
        <w:t>践</w:t>
      </w:r>
      <w:r>
        <w:rPr>
          <w:rFonts w:hint="eastAsia" w:ascii="仿宋" w:hAnsi="仿宋" w:eastAsia="仿宋" w:cs="仿宋"/>
          <w:sz w:val="21"/>
          <w:szCs w:val="21"/>
          <w:lang w:val="zh-CN" w:eastAsia="zh-CN"/>
        </w:rPr>
        <w:t>教学体系，</w:t>
      </w:r>
      <w:r>
        <w:rPr>
          <w:rFonts w:hint="eastAsia" w:ascii="仿宋" w:hAnsi="仿宋" w:eastAsia="仿宋" w:cs="仿宋"/>
          <w:sz w:val="21"/>
          <w:szCs w:val="21"/>
          <w:lang w:val="en-US" w:eastAsia="zh-CN"/>
        </w:rPr>
        <w:t>通过仿真和虚拟现实、物联网、大数据、计算机网络、数据库、多媒体等信息等技术的集成应用</w:t>
      </w:r>
      <w:r>
        <w:rPr>
          <w:rFonts w:hint="eastAsia" w:ascii="仿宋" w:hAnsi="仿宋" w:eastAsia="仿宋" w:cs="仿宋"/>
          <w:sz w:val="21"/>
          <w:szCs w:val="21"/>
          <w:lang w:val="zh-CN" w:eastAsia="zh-CN"/>
        </w:rPr>
        <w:t>，</w:t>
      </w:r>
      <w:r>
        <w:rPr>
          <w:rFonts w:hint="eastAsia" w:ascii="仿宋" w:hAnsi="仿宋" w:eastAsia="仿宋" w:cs="仿宋"/>
          <w:sz w:val="21"/>
          <w:szCs w:val="21"/>
          <w:lang w:val="en-US" w:eastAsia="zh-CN"/>
        </w:rPr>
        <w:t>为专业教学提供物流基础实验、创新性实验、综合应用型实验等多层次系统化实践教学实训项目，使</w:t>
      </w:r>
      <w:r>
        <w:rPr>
          <w:rFonts w:hint="eastAsia" w:ascii="仿宋" w:hAnsi="仿宋" w:eastAsia="仿宋" w:cs="仿宋"/>
          <w:sz w:val="21"/>
          <w:szCs w:val="21"/>
          <w:lang w:val="zh-CN" w:eastAsia="zh-CN"/>
        </w:rPr>
        <w:t>学生能够在安全、专业的环境下进行实战，通过认知、练习、实战、创新过程步步生深化学习过程，</w:t>
      </w:r>
      <w:r>
        <w:rPr>
          <w:rFonts w:hint="eastAsia" w:ascii="仿宋" w:hAnsi="仿宋" w:eastAsia="仿宋" w:cs="仿宋"/>
          <w:sz w:val="21"/>
          <w:szCs w:val="21"/>
          <w:lang w:val="en-US" w:eastAsia="zh-CN"/>
        </w:rPr>
        <w:t>如图3所示为虚拟仿真实训项目截图。</w:t>
      </w:r>
    </w:p>
    <w:p>
      <w:pPr>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数字化物流供应链虚拟仿真实训中心的具体建设方案详见附件二。</w:t>
      </w:r>
    </w:p>
    <w:p>
      <w:pPr>
        <w:numPr>
          <w:ilvl w:val="0"/>
          <w:numId w:val="0"/>
        </w:numPr>
        <w:autoSpaceDE/>
        <w:autoSpaceDN/>
        <w:spacing w:before="0" w:after="0" w:line="240" w:lineRule="auto"/>
        <w:ind w:left="0" w:leftChars="0" w:right="0" w:firstLine="0" w:firstLineChars="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 </w:t>
      </w:r>
      <w:r>
        <w:drawing>
          <wp:inline distT="0" distB="0" distL="0" distR="0">
            <wp:extent cx="5263515" cy="2872105"/>
            <wp:effectExtent l="0" t="0" r="9525" b="8255"/>
            <wp:docPr id="25" name="图片 25" descr="图形用户界面,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图形用户界面, 图示&#10;&#10;描述已自动生成"/>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63515" cy="2872105"/>
                    </a:xfrm>
                    <a:prstGeom prst="rect">
                      <a:avLst/>
                    </a:prstGeom>
                    <a:noFill/>
                    <a:ln>
                      <a:noFill/>
                    </a:ln>
                  </pic:spPr>
                </pic:pic>
              </a:graphicData>
            </a:graphic>
          </wp:inline>
        </w:drawing>
      </w:r>
      <w:r>
        <w:rPr>
          <w:rFonts w:hint="eastAsia" w:ascii="仿宋" w:hAnsi="仿宋" w:eastAsia="仿宋" w:cs="仿宋"/>
          <w:sz w:val="21"/>
          <w:szCs w:val="21"/>
          <w:lang w:val="en-US" w:eastAsia="zh-CN"/>
        </w:rPr>
        <w:t>图3 数字化虚拟仿真实训项目案例</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4.3 生态物流产教融合</w:t>
      </w:r>
      <w:r>
        <w:rPr>
          <w:rFonts w:hint="default" w:ascii="方正仿宋_GB2312" w:hAnsi="方正仿宋_GB2312" w:eastAsia="方正仿宋_GB2312" w:cs="方正仿宋_GB2312"/>
          <w:b/>
          <w:bCs/>
          <w:sz w:val="24"/>
          <w:szCs w:val="24"/>
          <w:lang w:val="en-US" w:eastAsia="zh-CN"/>
        </w:rPr>
        <w:t>实践教学</w:t>
      </w:r>
      <w:r>
        <w:rPr>
          <w:rFonts w:hint="eastAsia" w:ascii="方正仿宋_GB2312" w:hAnsi="方正仿宋_GB2312" w:eastAsia="方正仿宋_GB2312" w:cs="方正仿宋_GB2312"/>
          <w:b/>
          <w:bCs/>
          <w:sz w:val="24"/>
          <w:szCs w:val="24"/>
          <w:lang w:val="en-US" w:eastAsia="zh-CN"/>
        </w:rPr>
        <w:t>基地建设</w:t>
      </w:r>
    </w:p>
    <w:p>
      <w:pPr>
        <w:numPr>
          <w:ilvl w:val="0"/>
          <w:numId w:val="0"/>
        </w:numPr>
        <w:ind w:left="0" w:leftChars="0" w:firstLine="420" w:firstLineChars="200"/>
        <w:jc w:val="left"/>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依托菜鸟网络整合阿里巴巴集团的商业资源，</w:t>
      </w:r>
      <w:r>
        <w:rPr>
          <w:rFonts w:hint="eastAsia" w:ascii="仿宋" w:hAnsi="仿宋" w:eastAsia="仿宋" w:cs="仿宋"/>
          <w:sz w:val="21"/>
          <w:szCs w:val="21"/>
          <w:lang w:val="en-US" w:eastAsia="zh-CN"/>
        </w:rPr>
        <w:t>践行国家“双碳目标”战略，以食品安全为核心，</w:t>
      </w:r>
      <w:r>
        <w:rPr>
          <w:rFonts w:hint="default" w:ascii="仿宋" w:hAnsi="仿宋" w:eastAsia="仿宋" w:cs="仿宋"/>
          <w:sz w:val="21"/>
          <w:szCs w:val="21"/>
          <w:lang w:val="en-US" w:eastAsia="zh-CN"/>
        </w:rPr>
        <w:t>在学校实施“驿站＋”孵化器项目，彻底解决目前校园菜鸟驿站“管理不规范、业务人员素质低、服务质量差、设备简陋，应急能力差”等问题，打造由新技术、新服务设施和新商业场景集成应用的智慧“</w:t>
      </w:r>
      <w:r>
        <w:rPr>
          <w:rFonts w:hint="eastAsia" w:ascii="仿宋" w:hAnsi="仿宋" w:eastAsia="仿宋" w:cs="仿宋"/>
          <w:sz w:val="21"/>
          <w:szCs w:val="21"/>
          <w:lang w:val="en-US" w:eastAsia="zh-CN"/>
        </w:rPr>
        <w:t>快递</w:t>
      </w:r>
      <w:r>
        <w:rPr>
          <w:rFonts w:hint="default" w:ascii="仿宋" w:hAnsi="仿宋" w:eastAsia="仿宋" w:cs="仿宋"/>
          <w:sz w:val="21"/>
          <w:szCs w:val="21"/>
          <w:lang w:val="en-US" w:eastAsia="zh-CN"/>
        </w:rPr>
        <w:t>驿站+新零售”实体运营场景，</w:t>
      </w:r>
      <w:r>
        <w:rPr>
          <w:rFonts w:hint="eastAsia" w:ascii="仿宋" w:hAnsi="仿宋" w:eastAsia="仿宋" w:cs="仿宋"/>
          <w:sz w:val="21"/>
          <w:szCs w:val="21"/>
          <w:lang w:val="en-US" w:eastAsia="zh-CN"/>
        </w:rPr>
        <w:t>通过合理规划校园快递空间布局，创新应用低碳化校园快递模式，建设能够</w:t>
      </w:r>
      <w:r>
        <w:rPr>
          <w:rFonts w:hint="default" w:ascii="仿宋" w:hAnsi="仿宋" w:eastAsia="仿宋" w:cs="仿宋"/>
          <w:sz w:val="21"/>
          <w:szCs w:val="21"/>
          <w:lang w:val="en-US" w:eastAsia="zh-CN"/>
        </w:rPr>
        <w:t>满足职业化训练需求的实践教学基地，为建立优美的校园环境和秩序提供基础设施，</w:t>
      </w:r>
      <w:r>
        <w:rPr>
          <w:rFonts w:hint="eastAsia" w:ascii="仿宋" w:hAnsi="仿宋" w:eastAsia="仿宋" w:cs="仿宋"/>
          <w:sz w:val="21"/>
          <w:szCs w:val="21"/>
          <w:lang w:val="en-US" w:eastAsia="zh-CN"/>
        </w:rPr>
        <w:t>打造高品质校园生活服务综合体，</w:t>
      </w:r>
      <w:r>
        <w:rPr>
          <w:rFonts w:hint="default" w:ascii="仿宋" w:hAnsi="仿宋" w:eastAsia="仿宋" w:cs="仿宋"/>
          <w:sz w:val="21"/>
          <w:szCs w:val="21"/>
          <w:lang w:val="en-US" w:eastAsia="zh-CN"/>
        </w:rPr>
        <w:t>为广大师生带来全新的生活体验。</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4.4</w:t>
      </w:r>
      <w:r>
        <w:rPr>
          <w:rFonts w:hint="default" w:ascii="方正仿宋_GB2312" w:hAnsi="方正仿宋_GB2312" w:eastAsia="方正仿宋_GB2312" w:cs="方正仿宋_GB2312"/>
          <w:b/>
          <w:bCs/>
          <w:sz w:val="24"/>
          <w:szCs w:val="24"/>
          <w:lang w:val="en-US" w:eastAsia="zh-CN"/>
        </w:rPr>
        <w:t xml:space="preserve"> 产教融合</w:t>
      </w:r>
      <w:r>
        <w:rPr>
          <w:rFonts w:hint="eastAsia" w:ascii="方正仿宋_GB2312" w:hAnsi="方正仿宋_GB2312" w:eastAsia="方正仿宋_GB2312" w:cs="方正仿宋_GB2312"/>
          <w:b/>
          <w:bCs/>
          <w:sz w:val="24"/>
          <w:szCs w:val="24"/>
          <w:lang w:val="en-US" w:eastAsia="zh-CN"/>
        </w:rPr>
        <w:t>教</w:t>
      </w:r>
      <w:r>
        <w:rPr>
          <w:rFonts w:hint="default" w:ascii="方正仿宋_GB2312" w:hAnsi="方正仿宋_GB2312" w:eastAsia="方正仿宋_GB2312" w:cs="方正仿宋_GB2312"/>
          <w:b/>
          <w:bCs/>
          <w:sz w:val="24"/>
          <w:szCs w:val="24"/>
          <w:lang w:val="en-US" w:eastAsia="zh-CN"/>
        </w:rPr>
        <w:t>科研平台</w:t>
      </w:r>
      <w:r>
        <w:rPr>
          <w:rFonts w:hint="eastAsia" w:ascii="方正仿宋_GB2312" w:hAnsi="方正仿宋_GB2312" w:eastAsia="方正仿宋_GB2312" w:cs="方正仿宋_GB2312"/>
          <w:b/>
          <w:bCs/>
          <w:sz w:val="24"/>
          <w:szCs w:val="24"/>
          <w:lang w:val="en-US" w:eastAsia="zh-CN"/>
        </w:rPr>
        <w:t>建设及应用</w:t>
      </w:r>
    </w:p>
    <w:p>
      <w:pPr>
        <w:numPr>
          <w:ilvl w:val="0"/>
          <w:numId w:val="0"/>
        </w:numPr>
        <w:ind w:left="0" w:leftChars="0" w:firstLine="420" w:firstLineChars="200"/>
        <w:jc w:val="left"/>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针对</w:t>
      </w:r>
      <w:r>
        <w:rPr>
          <w:rFonts w:hint="eastAsia" w:ascii="仿宋" w:hAnsi="仿宋" w:eastAsia="仿宋" w:cs="仿宋"/>
          <w:sz w:val="21"/>
          <w:szCs w:val="21"/>
          <w:lang w:val="en-US" w:eastAsia="zh-CN"/>
        </w:rPr>
        <w:t>高校物流需求特点，围绕安全高效、绿色低碳化发展方向</w:t>
      </w:r>
      <w:r>
        <w:rPr>
          <w:rFonts w:hint="default" w:ascii="仿宋" w:hAnsi="仿宋" w:eastAsia="仿宋" w:cs="仿宋"/>
          <w:sz w:val="21"/>
          <w:szCs w:val="21"/>
          <w:lang w:val="en-US" w:eastAsia="zh-CN"/>
        </w:rPr>
        <w:t>开展深入研究，并将研究成果及时通过“驿站＋”孵化器转化应用。</w:t>
      </w:r>
      <w:r>
        <w:rPr>
          <w:rFonts w:hint="eastAsia" w:ascii="仿宋" w:hAnsi="仿宋" w:eastAsia="仿宋" w:cs="仿宋"/>
          <w:sz w:val="21"/>
          <w:szCs w:val="21"/>
          <w:lang w:val="en-US" w:eastAsia="zh-CN"/>
        </w:rPr>
        <w:t>具体</w:t>
      </w:r>
      <w:r>
        <w:rPr>
          <w:rFonts w:hint="default" w:ascii="仿宋" w:hAnsi="仿宋" w:eastAsia="仿宋" w:cs="仿宋"/>
          <w:sz w:val="21"/>
          <w:szCs w:val="21"/>
          <w:lang w:val="en-US" w:eastAsia="zh-CN"/>
        </w:rPr>
        <w:t>研究方向如下：</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w:t>
      </w:r>
      <w:r>
        <w:rPr>
          <w:rFonts w:hint="default" w:ascii="方正仿宋_GB2312" w:hAnsi="方正仿宋_GB2312" w:eastAsia="方正仿宋_GB2312" w:cs="方正仿宋_GB2312"/>
          <w:b/>
          <w:bCs/>
          <w:sz w:val="24"/>
          <w:szCs w:val="24"/>
          <w:lang w:val="en-US" w:eastAsia="zh-CN"/>
        </w:rPr>
        <w:t>1</w:t>
      </w:r>
      <w:r>
        <w:rPr>
          <w:rFonts w:hint="eastAsia" w:ascii="方正仿宋_GB2312" w:hAnsi="方正仿宋_GB2312" w:eastAsia="方正仿宋_GB2312" w:cs="方正仿宋_GB2312"/>
          <w:b/>
          <w:bCs/>
          <w:sz w:val="24"/>
          <w:szCs w:val="24"/>
          <w:lang w:val="en-US" w:eastAsia="zh-CN"/>
        </w:rPr>
        <w:t>）</w:t>
      </w:r>
      <w:r>
        <w:rPr>
          <w:rFonts w:hint="default" w:ascii="方正仿宋_GB2312" w:hAnsi="方正仿宋_GB2312" w:eastAsia="方正仿宋_GB2312" w:cs="方正仿宋_GB2312"/>
          <w:b/>
          <w:bCs/>
          <w:sz w:val="24"/>
          <w:szCs w:val="24"/>
          <w:lang w:val="en-US" w:eastAsia="zh-CN"/>
        </w:rPr>
        <w:t xml:space="preserve"> 电商物流安全技术与应用</w:t>
      </w:r>
    </w:p>
    <w:p>
      <w:pPr>
        <w:numPr>
          <w:ilvl w:val="0"/>
          <w:numId w:val="0"/>
        </w:numPr>
        <w:ind w:left="0" w:leftChars="0" w:firstLine="420" w:firstLineChars="200"/>
        <w:jc w:val="left"/>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依据国家及行业有关安全的政策法规，针对物流及快递行业的突出问题，研究公共安全、货物安全等技术措施，并在智慧校园</w:t>
      </w:r>
      <w:r>
        <w:rPr>
          <w:rFonts w:hint="eastAsia" w:ascii="仿宋" w:hAnsi="仿宋" w:eastAsia="仿宋" w:cs="仿宋"/>
          <w:sz w:val="21"/>
          <w:szCs w:val="21"/>
          <w:lang w:val="en-US" w:eastAsia="zh-CN"/>
        </w:rPr>
        <w:t>快递</w:t>
      </w:r>
      <w:r>
        <w:rPr>
          <w:rFonts w:hint="default" w:ascii="仿宋" w:hAnsi="仿宋" w:eastAsia="仿宋" w:cs="仿宋"/>
          <w:sz w:val="21"/>
          <w:szCs w:val="21"/>
          <w:lang w:val="en-US" w:eastAsia="zh-CN"/>
        </w:rPr>
        <w:t>试点应用。</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（2）</w:t>
      </w:r>
      <w:r>
        <w:rPr>
          <w:rFonts w:hint="default" w:ascii="方正仿宋_GB2312" w:hAnsi="方正仿宋_GB2312" w:eastAsia="方正仿宋_GB2312" w:cs="方正仿宋_GB2312"/>
          <w:b/>
          <w:bCs/>
          <w:sz w:val="24"/>
          <w:szCs w:val="24"/>
          <w:lang w:val="en-US" w:eastAsia="zh-CN"/>
        </w:rPr>
        <w:t xml:space="preserve"> 电商物流绿色包装技术研究与应用</w:t>
      </w:r>
    </w:p>
    <w:p>
      <w:pPr>
        <w:numPr>
          <w:ilvl w:val="0"/>
          <w:numId w:val="0"/>
        </w:numPr>
        <w:autoSpaceDE/>
        <w:autoSpaceDN/>
        <w:spacing w:before="0" w:after="0" w:line="240" w:lineRule="auto"/>
        <w:ind w:right="0" w:firstLine="570"/>
        <w:jc w:val="both"/>
        <w:rPr>
          <w:rFonts w:hint="default" w:ascii="仿宋" w:hAnsi="仿宋" w:eastAsia="仿宋"/>
          <w:color w:val="auto"/>
          <w:position w:val="0"/>
          <w:sz w:val="32"/>
          <w:szCs w:val="32"/>
        </w:rPr>
      </w:pPr>
      <w:r>
        <w:rPr>
          <w:rFonts w:hint="default" w:ascii="仿宋" w:hAnsi="仿宋" w:eastAsia="仿宋" w:cs="仿宋"/>
          <w:sz w:val="21"/>
          <w:szCs w:val="21"/>
          <w:lang w:val="en-US" w:eastAsia="zh-CN"/>
        </w:rPr>
        <w:t>依托菜鸟“驿站＋”大数据分析，实现对电商快递货物的精准分类，根据产品类别和特点，研究绿色包装材料、柔性包装结构、绿色包装性能测试技术与应用以及绿色包装应用模式等，并将研究结果及时转化应用于校园菜鸟驿站。</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w:t>
      </w:r>
      <w:r>
        <w:rPr>
          <w:rFonts w:hint="default" w:ascii="方正仿宋_GB2312" w:hAnsi="方正仿宋_GB2312" w:eastAsia="方正仿宋_GB2312" w:cs="方正仿宋_GB2312"/>
          <w:b/>
          <w:bCs/>
          <w:sz w:val="24"/>
          <w:szCs w:val="24"/>
          <w:lang w:val="en-US" w:eastAsia="zh-CN"/>
        </w:rPr>
        <w:t>3</w:t>
      </w:r>
      <w:r>
        <w:rPr>
          <w:rFonts w:hint="eastAsia" w:ascii="方正仿宋_GB2312" w:hAnsi="方正仿宋_GB2312" w:eastAsia="方正仿宋_GB2312" w:cs="方正仿宋_GB2312"/>
          <w:b/>
          <w:bCs/>
          <w:sz w:val="24"/>
          <w:szCs w:val="24"/>
          <w:lang w:val="en-US" w:eastAsia="zh-CN"/>
        </w:rPr>
        <w:t>）</w:t>
      </w:r>
      <w:r>
        <w:rPr>
          <w:rFonts w:hint="default" w:ascii="方正仿宋_GB2312" w:hAnsi="方正仿宋_GB2312" w:eastAsia="方正仿宋_GB2312" w:cs="方正仿宋_GB2312"/>
          <w:b/>
          <w:bCs/>
          <w:sz w:val="24"/>
          <w:szCs w:val="24"/>
          <w:lang w:val="en-US" w:eastAsia="zh-CN"/>
        </w:rPr>
        <w:t xml:space="preserve"> 电商物流新技术集成研究与应用</w:t>
      </w:r>
    </w:p>
    <w:p>
      <w:pPr>
        <w:numPr>
          <w:ilvl w:val="0"/>
          <w:numId w:val="0"/>
        </w:numPr>
        <w:autoSpaceDE/>
        <w:autoSpaceDN/>
        <w:spacing w:before="0" w:after="0" w:line="240" w:lineRule="auto"/>
        <w:ind w:right="0" w:firstLine="570"/>
        <w:jc w:val="both"/>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依托菜鸟“驿站＋”项目，进行智慧物流新技术、新模式的创新应用研究。具体研究内容如下：</w:t>
      </w:r>
    </w:p>
    <w:p>
      <w:pPr>
        <w:numPr>
          <w:ilvl w:val="0"/>
          <w:numId w:val="0"/>
        </w:numPr>
        <w:autoSpaceDE/>
        <w:autoSpaceDN/>
        <w:spacing w:before="0" w:after="0" w:line="240" w:lineRule="auto"/>
        <w:ind w:right="0" w:firstLine="570"/>
        <w:jc w:val="both"/>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新技术应用：不断优化升级智能快递柜、智能闸机、云监控、安检仪等，实现智能快递的全新体验场景。</w:t>
      </w:r>
    </w:p>
    <w:p>
      <w:pPr>
        <w:numPr>
          <w:ilvl w:val="0"/>
          <w:numId w:val="0"/>
        </w:numPr>
        <w:autoSpaceDE/>
        <w:autoSpaceDN/>
        <w:spacing w:before="0" w:after="0" w:line="240" w:lineRule="auto"/>
        <w:ind w:right="0" w:firstLine="570"/>
        <w:jc w:val="both"/>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新服务模式：引入</w:t>
      </w:r>
      <w:r>
        <w:rPr>
          <w:rFonts w:hint="eastAsia" w:ascii="仿宋" w:hAnsi="仿宋" w:eastAsia="仿宋" w:cs="仿宋"/>
          <w:sz w:val="21"/>
          <w:szCs w:val="21"/>
          <w:lang w:val="en-US" w:eastAsia="zh-CN"/>
        </w:rPr>
        <w:t>电商</w:t>
      </w:r>
      <w:r>
        <w:rPr>
          <w:rFonts w:hint="default" w:ascii="仿宋" w:hAnsi="仿宋" w:eastAsia="仿宋" w:cs="仿宋"/>
          <w:sz w:val="21"/>
          <w:szCs w:val="21"/>
          <w:lang w:val="en-US" w:eastAsia="zh-CN"/>
        </w:rPr>
        <w:t>前置仓功能，</w:t>
      </w:r>
      <w:r>
        <w:rPr>
          <w:rFonts w:hint="eastAsia" w:ascii="仿宋" w:hAnsi="仿宋" w:eastAsia="仿宋" w:cs="仿宋"/>
          <w:sz w:val="21"/>
          <w:szCs w:val="21"/>
          <w:lang w:val="en-US" w:eastAsia="zh-CN"/>
        </w:rPr>
        <w:t>实现</w:t>
      </w:r>
      <w:r>
        <w:rPr>
          <w:rFonts w:hint="default" w:ascii="仿宋" w:hAnsi="仿宋" w:eastAsia="仿宋" w:cs="仿宋"/>
          <w:sz w:val="21"/>
          <w:szCs w:val="21"/>
          <w:lang w:val="en-US" w:eastAsia="zh-CN"/>
        </w:rPr>
        <w:t>校园门店</w:t>
      </w:r>
      <w:r>
        <w:rPr>
          <w:rFonts w:hint="eastAsia" w:ascii="仿宋" w:hAnsi="仿宋" w:eastAsia="仿宋" w:cs="仿宋"/>
          <w:sz w:val="21"/>
          <w:szCs w:val="21"/>
          <w:lang w:val="en-US" w:eastAsia="zh-CN"/>
        </w:rPr>
        <w:t>即时配送</w:t>
      </w:r>
      <w:r>
        <w:rPr>
          <w:rFonts w:hint="default" w:ascii="仿宋" w:hAnsi="仿宋" w:eastAsia="仿宋" w:cs="仿宋"/>
          <w:sz w:val="21"/>
          <w:szCs w:val="21"/>
          <w:lang w:val="en-US" w:eastAsia="zh-CN"/>
        </w:rPr>
        <w:t>的新服务模式。</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w:t>
      </w:r>
      <w:r>
        <w:rPr>
          <w:rFonts w:hint="default" w:ascii="方正仿宋_GB2312" w:hAnsi="方正仿宋_GB2312" w:eastAsia="方正仿宋_GB2312" w:cs="方正仿宋_GB2312"/>
          <w:b/>
          <w:bCs/>
          <w:sz w:val="24"/>
          <w:szCs w:val="24"/>
          <w:lang w:val="en-US" w:eastAsia="zh-CN"/>
        </w:rPr>
        <w:t>4</w:t>
      </w:r>
      <w:r>
        <w:rPr>
          <w:rFonts w:hint="eastAsia" w:ascii="方正仿宋_GB2312" w:hAnsi="方正仿宋_GB2312" w:eastAsia="方正仿宋_GB2312" w:cs="方正仿宋_GB2312"/>
          <w:b/>
          <w:bCs/>
          <w:sz w:val="24"/>
          <w:szCs w:val="24"/>
          <w:lang w:val="en-US" w:eastAsia="zh-CN"/>
        </w:rPr>
        <w:t>）校园</w:t>
      </w:r>
      <w:r>
        <w:rPr>
          <w:rFonts w:hint="default" w:ascii="方正仿宋_GB2312" w:hAnsi="方正仿宋_GB2312" w:eastAsia="方正仿宋_GB2312" w:cs="方正仿宋_GB2312"/>
          <w:b/>
          <w:bCs/>
          <w:sz w:val="24"/>
          <w:szCs w:val="24"/>
          <w:lang w:val="en-US" w:eastAsia="zh-CN"/>
        </w:rPr>
        <w:t>绿色物流指数研究及应用</w:t>
      </w:r>
    </w:p>
    <w:p>
      <w:pPr>
        <w:numPr>
          <w:ilvl w:val="0"/>
          <w:numId w:val="0"/>
        </w:numPr>
        <w:autoSpaceDE/>
        <w:autoSpaceDN/>
        <w:spacing w:before="0" w:after="0" w:line="240" w:lineRule="auto"/>
        <w:ind w:right="0" w:firstLine="570"/>
        <w:jc w:val="both"/>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依托菜鸟“驿站＋”项目，研究分析绿色物流指标体系，提出绿色物流指数的概念、模型与统计分析方法等，将研究成果直接应用于菜鸟驿站，引导驿站建立并完善绿色环保体系，并持续改进。</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w:t>
      </w:r>
      <w:r>
        <w:rPr>
          <w:rFonts w:hint="default" w:ascii="方正仿宋_GB2312" w:hAnsi="方正仿宋_GB2312" w:eastAsia="方正仿宋_GB2312" w:cs="方正仿宋_GB2312"/>
          <w:b/>
          <w:bCs/>
          <w:sz w:val="24"/>
          <w:szCs w:val="24"/>
          <w:lang w:val="en-US" w:eastAsia="zh-CN"/>
        </w:rPr>
        <w:t>5</w:t>
      </w:r>
      <w:r>
        <w:rPr>
          <w:rFonts w:hint="eastAsia" w:ascii="方正仿宋_GB2312" w:hAnsi="方正仿宋_GB2312" w:eastAsia="方正仿宋_GB2312" w:cs="方正仿宋_GB2312"/>
          <w:b/>
          <w:bCs/>
          <w:sz w:val="24"/>
          <w:szCs w:val="24"/>
          <w:lang w:val="en-US" w:eastAsia="zh-CN"/>
        </w:rPr>
        <w:t>）</w:t>
      </w:r>
      <w:r>
        <w:rPr>
          <w:rFonts w:hint="default" w:ascii="方正仿宋_GB2312" w:hAnsi="方正仿宋_GB2312" w:eastAsia="方正仿宋_GB2312" w:cs="方正仿宋_GB2312"/>
          <w:b/>
          <w:bCs/>
          <w:sz w:val="24"/>
          <w:szCs w:val="24"/>
          <w:lang w:val="en-US" w:eastAsia="zh-CN"/>
        </w:rPr>
        <w:t xml:space="preserve"> 产教融合协同育人模式研究与实践</w:t>
      </w:r>
    </w:p>
    <w:p>
      <w:pPr>
        <w:numPr>
          <w:ilvl w:val="0"/>
          <w:numId w:val="0"/>
        </w:numPr>
        <w:autoSpaceDE/>
        <w:autoSpaceDN/>
        <w:spacing w:before="0" w:after="0" w:line="240" w:lineRule="auto"/>
        <w:ind w:left="0" w:leftChars="0" w:right="0" w:firstLine="420" w:firstLineChars="0"/>
        <w:jc w:val="both"/>
        <w:rPr>
          <w:rFonts w:hint="default"/>
          <w:lang w:val="en-US" w:eastAsia="zh-CN"/>
        </w:rPr>
      </w:pPr>
      <w:r>
        <w:rPr>
          <w:rFonts w:hint="default" w:ascii="仿宋" w:hAnsi="仿宋" w:eastAsia="仿宋" w:cs="仿宋"/>
          <w:sz w:val="21"/>
          <w:szCs w:val="21"/>
          <w:lang w:val="en-US" w:eastAsia="zh-CN"/>
        </w:rPr>
        <w:t>依托菜鸟“驿站＋”项目，创新产教融合、协同育人的人才培养模式。研究“驿站＋”项目群与专业群、教学内容与生产环节、教学过程与生产过程的有效衔接问题，实施以学生为中心的启发式、合作式、参与式教学方式，激发学生主动学习热情，建立以职业需求为导向、以实践能力培养为重点的产教融合培养新模式。</w:t>
      </w:r>
    </w:p>
    <w:p>
      <w:pPr>
        <w:numPr>
          <w:ilvl w:val="0"/>
          <w:numId w:val="0"/>
        </w:numPr>
        <w:autoSpaceDE/>
        <w:autoSpaceDN/>
        <w:spacing w:before="0" w:after="0" w:line="240" w:lineRule="auto"/>
        <w:ind w:left="0" w:leftChars="0" w:right="0" w:firstLine="420" w:firstLineChars="0"/>
        <w:jc w:val="both"/>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通过现代物流综合实验实训平台的建设，逐渐建立</w:t>
      </w:r>
      <w:r>
        <w:rPr>
          <w:rFonts w:hint="default" w:ascii="仿宋" w:hAnsi="仿宋" w:eastAsia="仿宋" w:cs="仿宋"/>
          <w:sz w:val="21"/>
          <w:szCs w:val="21"/>
          <w:lang w:val="zh-CN" w:eastAsia="zh-CN"/>
        </w:rPr>
        <w:t>产教融合的教学项目群、专业及课程群，创新项目、专业及课程一体化运作的新型育人模式，初步建立校企合作生态圈，</w:t>
      </w:r>
      <w:r>
        <w:rPr>
          <w:rFonts w:hint="default" w:ascii="仿宋" w:hAnsi="仿宋" w:eastAsia="仿宋" w:cs="仿宋"/>
          <w:sz w:val="21"/>
          <w:szCs w:val="21"/>
          <w:lang w:val="en-US" w:eastAsia="zh-CN"/>
        </w:rPr>
        <w:t>在初步建立校企合作生态圈的基础上，组建产教融合学术研究团队，搭建特色鲜明的产教融合协同育人平台，</w:t>
      </w:r>
      <w:r>
        <w:rPr>
          <w:rFonts w:hint="eastAsia" w:ascii="仿宋" w:hAnsi="仿宋" w:eastAsia="仿宋" w:cs="仿宋"/>
          <w:sz w:val="21"/>
          <w:szCs w:val="21"/>
          <w:lang w:val="en-US" w:eastAsia="zh-CN"/>
        </w:rPr>
        <w:t>新工科新文科融合发展的教科研创新平台、大学生创新创业平台和高品质校园物流综合服务平台。最终将现代物流实验实训平台</w:t>
      </w:r>
      <w:r>
        <w:rPr>
          <w:rFonts w:hint="default" w:ascii="仿宋" w:hAnsi="仿宋" w:eastAsia="仿宋" w:cs="仿宋"/>
          <w:sz w:val="21"/>
          <w:szCs w:val="21"/>
          <w:lang w:val="zh-CN" w:eastAsia="zh-CN"/>
        </w:rPr>
        <w:t>建成省内领先、国内颇具影响力的产教融合示范项目，形成山东</w:t>
      </w:r>
      <w:r>
        <w:rPr>
          <w:rFonts w:hint="eastAsia" w:ascii="仿宋" w:hAnsi="仿宋" w:eastAsia="仿宋" w:cs="仿宋"/>
          <w:sz w:val="21"/>
          <w:szCs w:val="21"/>
          <w:lang w:val="en-US" w:eastAsia="zh-CN"/>
        </w:rPr>
        <w:t>现代学院</w:t>
      </w:r>
      <w:r>
        <w:rPr>
          <w:rFonts w:hint="default" w:ascii="仿宋" w:hAnsi="仿宋" w:eastAsia="仿宋" w:cs="仿宋"/>
          <w:sz w:val="21"/>
          <w:szCs w:val="21"/>
          <w:lang w:val="zh-CN" w:eastAsia="zh-CN"/>
        </w:rPr>
        <w:t>产教融合特色品牌</w:t>
      </w:r>
      <w:r>
        <w:rPr>
          <w:rFonts w:hint="eastAsia" w:ascii="仿宋" w:hAnsi="仿宋" w:eastAsia="仿宋" w:cs="仿宋"/>
          <w:sz w:val="21"/>
          <w:szCs w:val="21"/>
          <w:lang w:val="zh-CN" w:eastAsia="zh-CN"/>
        </w:rPr>
        <w:t>，</w:t>
      </w:r>
      <w:r>
        <w:rPr>
          <w:rFonts w:hint="eastAsia" w:ascii="仿宋" w:hAnsi="仿宋" w:eastAsia="仿宋" w:cs="仿宋"/>
          <w:sz w:val="21"/>
          <w:szCs w:val="21"/>
          <w:lang w:val="en-US" w:eastAsia="zh-CN"/>
        </w:rPr>
        <w:t>培养满足社会急需的创新应用型专业人才，从而提高学校在行业内的知名度，促进物流及相关学科专业持续健康发展。</w:t>
      </w:r>
    </w:p>
    <w:p>
      <w:pPr>
        <w:pStyle w:val="2"/>
        <w:rPr>
          <w:rFonts w:hint="default"/>
          <w:lang w:val="en-US" w:eastAsia="zh-CN"/>
        </w:rPr>
      </w:pP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4</w:t>
      </w:r>
      <w:r>
        <w:rPr>
          <w:rFonts w:hint="default" w:ascii="方正仿宋_GB2312" w:hAnsi="方正仿宋_GB2312" w:eastAsia="方正仿宋_GB2312" w:cs="方正仿宋_GB2312"/>
          <w:b/>
          <w:bCs/>
          <w:sz w:val="24"/>
          <w:szCs w:val="24"/>
          <w:lang w:val="en-US" w:eastAsia="zh-CN"/>
        </w:rPr>
        <w:t>.</w:t>
      </w:r>
      <w:r>
        <w:rPr>
          <w:rFonts w:hint="eastAsia" w:ascii="方正仿宋_GB2312" w:hAnsi="方正仿宋_GB2312" w:eastAsia="方正仿宋_GB2312" w:cs="方正仿宋_GB2312"/>
          <w:b/>
          <w:bCs/>
          <w:sz w:val="24"/>
          <w:szCs w:val="24"/>
          <w:lang w:val="en-US" w:eastAsia="zh-CN"/>
        </w:rPr>
        <w:t>5</w:t>
      </w:r>
      <w:r>
        <w:rPr>
          <w:rFonts w:hint="default" w:ascii="方正仿宋_GB2312" w:hAnsi="方正仿宋_GB2312" w:eastAsia="方正仿宋_GB2312" w:cs="方正仿宋_GB2312"/>
          <w:b/>
          <w:bCs/>
          <w:sz w:val="24"/>
          <w:szCs w:val="24"/>
          <w:lang w:val="en-US" w:eastAsia="zh-CN"/>
        </w:rPr>
        <w:t xml:space="preserve"> </w:t>
      </w:r>
      <w:r>
        <w:rPr>
          <w:rFonts w:hint="eastAsia" w:ascii="方正仿宋_GB2312" w:hAnsi="方正仿宋_GB2312" w:eastAsia="方正仿宋_GB2312" w:cs="方正仿宋_GB2312"/>
          <w:b/>
          <w:bCs/>
          <w:sz w:val="24"/>
          <w:szCs w:val="24"/>
          <w:lang w:val="en-US" w:eastAsia="zh-CN"/>
        </w:rPr>
        <w:t>大</w:t>
      </w:r>
      <w:r>
        <w:rPr>
          <w:rFonts w:hint="default" w:ascii="方正仿宋_GB2312" w:hAnsi="方正仿宋_GB2312" w:eastAsia="方正仿宋_GB2312" w:cs="方正仿宋_GB2312"/>
          <w:b/>
          <w:bCs/>
          <w:sz w:val="24"/>
          <w:szCs w:val="24"/>
          <w:lang w:val="en-US" w:eastAsia="zh-CN"/>
        </w:rPr>
        <w:t>学生创新创业平台建设与实践</w:t>
      </w:r>
    </w:p>
    <w:p>
      <w:pPr>
        <w:numPr>
          <w:ilvl w:val="0"/>
          <w:numId w:val="0"/>
        </w:numPr>
        <w:autoSpaceDE/>
        <w:autoSpaceDN/>
        <w:spacing w:before="0" w:after="0" w:line="240" w:lineRule="auto"/>
        <w:ind w:right="0" w:firstLine="570"/>
        <w:jc w:val="both"/>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依托现代物流综合实验实训平台打造</w:t>
      </w:r>
      <w:r>
        <w:rPr>
          <w:rFonts w:hint="default" w:ascii="仿宋" w:hAnsi="仿宋" w:eastAsia="仿宋" w:cs="仿宋"/>
          <w:sz w:val="21"/>
          <w:szCs w:val="21"/>
          <w:lang w:val="en-US" w:eastAsia="zh-CN"/>
        </w:rPr>
        <w:t>产教融合创新创业平台。一是</w:t>
      </w:r>
      <w:r>
        <w:rPr>
          <w:rFonts w:hint="eastAsia" w:ascii="仿宋" w:hAnsi="仿宋" w:eastAsia="仿宋" w:cs="仿宋"/>
          <w:sz w:val="21"/>
          <w:szCs w:val="21"/>
          <w:lang w:val="en-US" w:eastAsia="zh-CN"/>
        </w:rPr>
        <w:t>依托4.4研究方向及内容，结合各学科专业特点，广泛开展校内学术创新和学科竞赛活动；二是</w:t>
      </w:r>
      <w:r>
        <w:rPr>
          <w:rFonts w:hint="default" w:ascii="仿宋" w:hAnsi="仿宋" w:eastAsia="仿宋" w:cs="仿宋"/>
          <w:sz w:val="21"/>
          <w:szCs w:val="21"/>
          <w:lang w:val="en-US" w:eastAsia="zh-CN"/>
        </w:rPr>
        <w:t>创立精准的就业推荐平台</w:t>
      </w:r>
      <w:r>
        <w:rPr>
          <w:rFonts w:hint="eastAsia" w:ascii="仿宋" w:hAnsi="仿宋" w:eastAsia="仿宋" w:cs="仿宋"/>
          <w:sz w:val="21"/>
          <w:szCs w:val="21"/>
          <w:lang w:val="en-US" w:eastAsia="zh-CN"/>
        </w:rPr>
        <w:t>，</w:t>
      </w:r>
      <w:r>
        <w:rPr>
          <w:rFonts w:hint="default" w:ascii="仿宋" w:hAnsi="仿宋" w:eastAsia="仿宋" w:cs="仿宋"/>
          <w:sz w:val="21"/>
          <w:szCs w:val="21"/>
          <w:lang w:val="en-US" w:eastAsia="zh-CN"/>
        </w:rPr>
        <w:t>引导学生面向社区基层创业</w:t>
      </w:r>
      <w:r>
        <w:rPr>
          <w:rFonts w:hint="eastAsia" w:ascii="仿宋" w:hAnsi="仿宋" w:eastAsia="仿宋" w:cs="仿宋"/>
          <w:sz w:val="21"/>
          <w:szCs w:val="21"/>
          <w:lang w:val="en-US" w:eastAsia="zh-CN"/>
        </w:rPr>
        <w:t>。</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5 投资概算</w:t>
      </w:r>
    </w:p>
    <w:p>
      <w:pPr>
        <w:numPr>
          <w:ilvl w:val="0"/>
          <w:numId w:val="0"/>
        </w:numPr>
        <w:ind w:leftChars="0"/>
        <w:jc w:val="lef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5.1 低碳化冷链物流实训中心设备投资概算</w:t>
      </w:r>
    </w:p>
    <w:p>
      <w:pPr>
        <w:numPr>
          <w:ilvl w:val="0"/>
          <w:numId w:val="0"/>
        </w:numPr>
        <w:autoSpaceDE/>
        <w:autoSpaceDN/>
        <w:spacing w:before="0" w:after="0" w:line="240" w:lineRule="auto"/>
        <w:ind w:right="0" w:firstLine="570"/>
        <w:jc w:val="lef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低碳化冷链物流实训中心建设总报价1863200元，具体设备清单及投资金额如表1。</w:t>
      </w:r>
    </w:p>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br w:type="page"/>
      </w:r>
    </w:p>
    <w:p>
      <w:pPr>
        <w:numPr>
          <w:ilvl w:val="0"/>
          <w:numId w:val="0"/>
        </w:numPr>
        <w:autoSpaceDE/>
        <w:autoSpaceDN/>
        <w:spacing w:before="0" w:after="0" w:line="240" w:lineRule="auto"/>
        <w:ind w:left="0" w:leftChars="0" w:right="0" w:firstLine="0" w:firstLineChars="0"/>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表1 低碳化冷链物流实训中心拟建设项目及投资概算</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3"/>
        <w:gridCol w:w="1865"/>
        <w:gridCol w:w="731"/>
        <w:gridCol w:w="1316"/>
        <w:gridCol w:w="638"/>
        <w:gridCol w:w="3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53"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序号</w:t>
            </w:r>
          </w:p>
        </w:tc>
        <w:tc>
          <w:tcPr>
            <w:tcW w:w="1094" w:type="pc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产品名称</w:t>
            </w:r>
          </w:p>
        </w:tc>
        <w:tc>
          <w:tcPr>
            <w:tcW w:w="429"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单位</w:t>
            </w:r>
          </w:p>
        </w:tc>
        <w:tc>
          <w:tcPr>
            <w:tcW w:w="770"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单价（元）</w:t>
            </w:r>
          </w:p>
        </w:tc>
        <w:tc>
          <w:tcPr>
            <w:tcW w:w="374"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数量</w:t>
            </w:r>
          </w:p>
        </w:tc>
        <w:tc>
          <w:tcPr>
            <w:tcW w:w="1777"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总价（元）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1.冷链仓储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多温冷库</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350000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350000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2</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冷链全程监控系统</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50000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3</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冷链仓储配送信息管理系统</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200000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4</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冷链仓储监管看板</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120000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120000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5</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冷链温湿度验证系统</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160000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6</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手持终端</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台</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7</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条码打印机</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台</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1800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8</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针式打印机</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台</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2500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9</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货架</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组</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2700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8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21600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10</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托盘</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个</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300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30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9000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11</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台式机</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台</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5000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12</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桌椅</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800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13</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地秤</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台</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2500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14</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堆高车</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辆</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15000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15</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周转箱</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个</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60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50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3000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2.冷链运输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16</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冷藏箱</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个</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4000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3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12000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17</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冷链运输管理系统</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200000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 </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3.冷链物流大数据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18</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冷链物流大数据系统</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250000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250000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19</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服务器</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个</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23000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46000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20</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机柜</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个</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2500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4.冷链物流虚拟仿真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21</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高性能VR工作站</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30000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30000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22</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VR智能头显设备(教师端)</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11000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11000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23</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全程冷链物流增强现实AR软件</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120000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120000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24</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全程冷链物流虚拟仿真系统</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200000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5.冷链文化互动系统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25</w:t>
            </w:r>
          </w:p>
        </w:tc>
        <w:tc>
          <w:tcPr>
            <w:tcW w:w="10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文化互动系统</w:t>
            </w:r>
          </w:p>
        </w:tc>
        <w:tc>
          <w:tcPr>
            <w:tcW w:w="4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套</w:t>
            </w:r>
          </w:p>
        </w:tc>
        <w:tc>
          <w:tcPr>
            <w:tcW w:w="7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24700 </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i w:val="0"/>
                <w:iCs w:val="0"/>
                <w:color w:val="000000"/>
                <w:sz w:val="21"/>
                <w:szCs w:val="21"/>
                <w:u w:val="none"/>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w w:val="100"/>
                <w:kern w:val="0"/>
                <w:sz w:val="21"/>
                <w:szCs w:val="21"/>
                <w:u w:val="none"/>
                <w:shd w:val="clear"/>
                <w:lang w:val="en-US" w:eastAsia="zh-CN" w:bidi="ar"/>
              </w:rPr>
              <w:t xml:space="preserve">24700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848"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合计：（大写金额壹佰捌拾陆万叁仟贰佰万元整）</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 w:hAnsi="仿宋" w:eastAsia="仿宋" w:cs="仿宋"/>
                <w:b/>
                <w:bCs/>
                <w:i w:val="0"/>
                <w:iCs w:val="0"/>
                <w:color w:val="000000"/>
                <w:sz w:val="21"/>
                <w:szCs w:val="21"/>
                <w:u w:val="none"/>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w w:val="100"/>
                <w:kern w:val="0"/>
                <w:sz w:val="21"/>
                <w:szCs w:val="21"/>
                <w:u w:val="none"/>
                <w:shd w:val="clear"/>
                <w:lang w:val="en-US" w:eastAsia="zh-CN" w:bidi="ar"/>
              </w:rPr>
              <w:t xml:space="preserve">1863200 </w:t>
            </w:r>
          </w:p>
        </w:tc>
      </w:tr>
    </w:tbl>
    <w:p>
      <w:pPr>
        <w:numPr>
          <w:ilvl w:val="0"/>
          <w:numId w:val="0"/>
        </w:numPr>
        <w:ind w:leftChars="0"/>
        <w:jc w:val="left"/>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5.2 数字化物流供应链虚拟仿真实训中心投资概算</w:t>
      </w:r>
    </w:p>
    <w:p>
      <w:pPr>
        <w:numPr>
          <w:ilvl w:val="0"/>
          <w:numId w:val="0"/>
        </w:numPr>
        <w:autoSpaceDE/>
        <w:autoSpaceDN/>
        <w:spacing w:before="0" w:after="0" w:line="240" w:lineRule="auto"/>
        <w:ind w:right="0" w:firstLine="570"/>
        <w:jc w:val="lef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数字化物流供应链虚拟仿真实训中心建设投资</w:t>
      </w:r>
      <w:r>
        <w:rPr>
          <w:rFonts w:hint="default" w:ascii="仿宋" w:hAnsi="仿宋" w:eastAsia="仿宋" w:cs="仿宋"/>
          <w:sz w:val="21"/>
          <w:szCs w:val="21"/>
          <w:lang w:val="en-US" w:eastAsia="zh-CN"/>
        </w:rPr>
        <w:t>总报价</w:t>
      </w:r>
      <w:r>
        <w:rPr>
          <w:rFonts w:hint="eastAsia" w:ascii="仿宋" w:hAnsi="仿宋" w:eastAsia="仿宋" w:cs="仿宋"/>
          <w:sz w:val="21"/>
          <w:szCs w:val="21"/>
          <w:lang w:val="en-US" w:eastAsia="zh-CN"/>
        </w:rPr>
        <w:t>680000</w:t>
      </w:r>
      <w:r>
        <w:rPr>
          <w:rFonts w:hint="default" w:ascii="仿宋" w:hAnsi="仿宋" w:eastAsia="仿宋" w:cs="仿宋"/>
          <w:sz w:val="21"/>
          <w:szCs w:val="21"/>
          <w:lang w:val="en-US" w:eastAsia="zh-CN"/>
        </w:rPr>
        <w:t>元，具体设备清单及投资金额如表</w:t>
      </w:r>
      <w:r>
        <w:rPr>
          <w:rFonts w:hint="eastAsia" w:ascii="仿宋" w:hAnsi="仿宋" w:eastAsia="仿宋" w:cs="仿宋"/>
          <w:sz w:val="21"/>
          <w:szCs w:val="21"/>
          <w:lang w:val="en-US" w:eastAsia="zh-CN"/>
        </w:rPr>
        <w:t>2</w:t>
      </w:r>
      <w:r>
        <w:rPr>
          <w:rFonts w:hint="default" w:ascii="仿宋" w:hAnsi="仿宋" w:eastAsia="仿宋" w:cs="仿宋"/>
          <w:sz w:val="21"/>
          <w:szCs w:val="21"/>
          <w:lang w:val="en-US" w:eastAsia="zh-CN"/>
        </w:rPr>
        <w:t>。</w:t>
      </w:r>
    </w:p>
    <w:p>
      <w:pPr>
        <w:pStyle w:val="2"/>
        <w:jc w:val="center"/>
        <w:rPr>
          <w:rFonts w:hint="default"/>
          <w:lang w:val="en-US" w:eastAsia="zh-CN"/>
        </w:rPr>
      </w:pPr>
      <w:r>
        <w:rPr>
          <w:rFonts w:hint="eastAsia"/>
          <w:lang w:val="en-US" w:eastAsia="zh-CN"/>
        </w:rPr>
        <w:t xml:space="preserve">表2 </w:t>
      </w:r>
      <w:r>
        <w:rPr>
          <w:rFonts w:hint="eastAsia" w:ascii="仿宋" w:hAnsi="仿宋" w:eastAsia="仿宋" w:cs="仿宋"/>
          <w:sz w:val="21"/>
          <w:szCs w:val="21"/>
          <w:lang w:val="en-US" w:eastAsia="zh-CN"/>
        </w:rPr>
        <w:t>数字化物流供应链虚拟仿真实训中心拟建设项目及投资概算</w:t>
      </w:r>
    </w:p>
    <w:tbl>
      <w:tblPr>
        <w:tblStyle w:val="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3018"/>
        <w:gridCol w:w="762"/>
        <w:gridCol w:w="682"/>
        <w:gridCol w:w="1551"/>
        <w:gridCol w:w="1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468" w:type="pct"/>
            <w:shd w:val="clear" w:color="000000" w:fill="auto"/>
            <w:vAlign w:val="center"/>
          </w:tcPr>
          <w:p>
            <w:pPr>
              <w:pStyle w:val="2"/>
              <w:rPr>
                <w:rFonts w:hint="eastAsia" w:ascii="仿宋" w:hAnsi="仿宋" w:eastAsia="仿宋" w:cs="仿宋"/>
                <w:b/>
                <w:bCs/>
                <w:color w:val="404040"/>
                <w:sz w:val="21"/>
                <w:szCs w:val="21"/>
              </w:rPr>
            </w:pPr>
            <w:r>
              <w:rPr>
                <w:rFonts w:hint="default"/>
                <w:lang w:val="en-US" w:eastAsia="zh-CN"/>
              </w:rPr>
              <w:br w:type="page"/>
            </w:r>
            <w:r>
              <w:rPr>
                <w:rFonts w:hint="eastAsia" w:ascii="仿宋" w:hAnsi="仿宋" w:eastAsia="仿宋" w:cs="仿宋"/>
                <w:b/>
                <w:bCs/>
                <w:color w:val="404040"/>
                <w:sz w:val="21"/>
                <w:szCs w:val="21"/>
              </w:rPr>
              <w:t>序号</w:t>
            </w:r>
          </w:p>
        </w:tc>
        <w:tc>
          <w:tcPr>
            <w:tcW w:w="1771" w:type="pct"/>
            <w:shd w:val="clear" w:color="000000" w:fill="auto"/>
            <w:vAlign w:val="center"/>
          </w:tcPr>
          <w:p>
            <w:pPr>
              <w:spacing w:after="0" w:line="240" w:lineRule="auto"/>
              <w:jc w:val="center"/>
              <w:rPr>
                <w:rFonts w:hint="eastAsia" w:ascii="仿宋" w:hAnsi="仿宋" w:eastAsia="仿宋" w:cs="仿宋"/>
                <w:b/>
                <w:bCs/>
                <w:color w:val="404040"/>
                <w:sz w:val="21"/>
                <w:szCs w:val="21"/>
              </w:rPr>
            </w:pPr>
            <w:r>
              <w:rPr>
                <w:rFonts w:hint="eastAsia" w:ascii="仿宋" w:hAnsi="仿宋" w:eastAsia="仿宋" w:cs="仿宋"/>
                <w:b/>
                <w:bCs/>
                <w:color w:val="404040"/>
                <w:sz w:val="21"/>
                <w:szCs w:val="21"/>
                <w:lang w:val="en-US" w:eastAsia="zh-CN"/>
              </w:rPr>
              <w:t>产品</w:t>
            </w:r>
            <w:r>
              <w:rPr>
                <w:rFonts w:hint="eastAsia" w:ascii="仿宋" w:hAnsi="仿宋" w:eastAsia="仿宋" w:cs="仿宋"/>
                <w:b/>
                <w:bCs/>
                <w:color w:val="404040"/>
                <w:sz w:val="21"/>
                <w:szCs w:val="21"/>
              </w:rPr>
              <w:t>名称</w:t>
            </w:r>
          </w:p>
        </w:tc>
        <w:tc>
          <w:tcPr>
            <w:tcW w:w="447" w:type="pct"/>
            <w:shd w:val="clear" w:color="000000" w:fill="auto"/>
          </w:tcPr>
          <w:p>
            <w:pPr>
              <w:spacing w:after="0" w:line="240" w:lineRule="auto"/>
              <w:jc w:val="center"/>
              <w:rPr>
                <w:rFonts w:hint="eastAsia" w:ascii="仿宋" w:hAnsi="仿宋" w:eastAsia="仿宋" w:cs="仿宋"/>
                <w:b/>
                <w:bCs/>
                <w:color w:val="404040"/>
                <w:sz w:val="21"/>
                <w:szCs w:val="21"/>
              </w:rPr>
            </w:pPr>
            <w:r>
              <w:rPr>
                <w:rFonts w:hint="eastAsia" w:ascii="仿宋" w:hAnsi="仿宋" w:eastAsia="仿宋" w:cs="仿宋"/>
                <w:b/>
                <w:bCs/>
                <w:color w:val="404040"/>
                <w:sz w:val="21"/>
                <w:szCs w:val="21"/>
              </w:rPr>
              <w:t>数量</w:t>
            </w:r>
          </w:p>
        </w:tc>
        <w:tc>
          <w:tcPr>
            <w:tcW w:w="400" w:type="pct"/>
            <w:shd w:val="clear" w:color="000000" w:fill="auto"/>
          </w:tcPr>
          <w:p>
            <w:pPr>
              <w:spacing w:after="0" w:line="240" w:lineRule="auto"/>
              <w:jc w:val="center"/>
              <w:rPr>
                <w:rFonts w:hint="eastAsia" w:ascii="仿宋" w:hAnsi="仿宋" w:eastAsia="仿宋" w:cs="仿宋"/>
                <w:b/>
                <w:bCs/>
                <w:color w:val="404040"/>
                <w:sz w:val="21"/>
                <w:szCs w:val="21"/>
                <w:lang w:val="en-US" w:eastAsia="zh-CN"/>
              </w:rPr>
            </w:pPr>
            <w:r>
              <w:rPr>
                <w:rFonts w:hint="eastAsia" w:ascii="仿宋" w:hAnsi="仿宋" w:eastAsia="仿宋" w:cs="仿宋"/>
                <w:b/>
                <w:bCs/>
                <w:color w:val="404040"/>
                <w:sz w:val="21"/>
                <w:szCs w:val="21"/>
                <w:lang w:val="en-US" w:eastAsia="zh-CN"/>
              </w:rPr>
              <w:t>单位</w:t>
            </w:r>
          </w:p>
        </w:tc>
        <w:tc>
          <w:tcPr>
            <w:tcW w:w="907" w:type="pct"/>
            <w:shd w:val="clear" w:color="000000" w:fill="auto"/>
          </w:tcPr>
          <w:p>
            <w:pPr>
              <w:spacing w:after="0" w:line="240" w:lineRule="auto"/>
              <w:jc w:val="center"/>
              <w:rPr>
                <w:rFonts w:hint="eastAsia" w:ascii="仿宋" w:hAnsi="仿宋" w:eastAsia="仿宋" w:cs="仿宋"/>
                <w:b/>
                <w:bCs/>
                <w:color w:val="404040"/>
                <w:sz w:val="21"/>
                <w:szCs w:val="21"/>
              </w:rPr>
            </w:pPr>
            <w:r>
              <w:rPr>
                <w:rFonts w:hint="eastAsia" w:ascii="仿宋" w:hAnsi="仿宋" w:eastAsia="仿宋" w:cs="仿宋"/>
                <w:b/>
                <w:bCs/>
                <w:color w:val="404040"/>
                <w:sz w:val="21"/>
                <w:szCs w:val="21"/>
              </w:rPr>
              <w:t>市场单价（元）</w:t>
            </w:r>
          </w:p>
        </w:tc>
        <w:tc>
          <w:tcPr>
            <w:tcW w:w="1003" w:type="pct"/>
            <w:shd w:val="clear" w:color="000000" w:fill="auto"/>
            <w:vAlign w:val="center"/>
          </w:tcPr>
          <w:p>
            <w:pPr>
              <w:spacing w:after="0" w:line="240" w:lineRule="auto"/>
              <w:jc w:val="center"/>
              <w:rPr>
                <w:rFonts w:hint="eastAsia" w:ascii="仿宋" w:hAnsi="仿宋" w:eastAsia="仿宋" w:cs="仿宋"/>
                <w:b/>
                <w:bCs/>
                <w:color w:val="404040"/>
                <w:sz w:val="21"/>
                <w:szCs w:val="21"/>
              </w:rPr>
            </w:pPr>
            <w:r>
              <w:rPr>
                <w:rFonts w:hint="eastAsia" w:ascii="仿宋" w:hAnsi="仿宋" w:eastAsia="仿宋" w:cs="仿宋"/>
                <w:b/>
                <w:bCs/>
                <w:color w:val="404040"/>
                <w:sz w:val="21"/>
                <w:szCs w:val="21"/>
              </w:rPr>
              <w:t>优惠单价（元）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68" w:type="pct"/>
            <w:shd w:val="clear" w:color="auto" w:fill="auto"/>
            <w:vAlign w:val="center"/>
          </w:tcPr>
          <w:p>
            <w:pPr>
              <w:spacing w:after="0" w:line="240" w:lineRule="auto"/>
              <w:jc w:val="center"/>
              <w:rPr>
                <w:rFonts w:hint="eastAsia" w:ascii="仿宋" w:hAnsi="仿宋" w:eastAsia="仿宋" w:cs="仿宋"/>
                <w:color w:val="404040"/>
                <w:sz w:val="21"/>
                <w:szCs w:val="21"/>
              </w:rPr>
            </w:pPr>
            <w:r>
              <w:rPr>
                <w:rFonts w:hint="eastAsia" w:ascii="仿宋" w:hAnsi="仿宋" w:eastAsia="仿宋" w:cs="仿宋"/>
                <w:color w:val="404040"/>
                <w:sz w:val="21"/>
                <w:szCs w:val="21"/>
              </w:rPr>
              <w:t>1</w:t>
            </w:r>
          </w:p>
        </w:tc>
        <w:tc>
          <w:tcPr>
            <w:tcW w:w="1771" w:type="pct"/>
            <w:vAlign w:val="center"/>
          </w:tcPr>
          <w:p>
            <w:pPr>
              <w:spacing w:after="0" w:line="240" w:lineRule="auto"/>
              <w:jc w:val="center"/>
              <w:rPr>
                <w:rFonts w:hint="eastAsia" w:ascii="仿宋" w:hAnsi="仿宋" w:eastAsia="仿宋" w:cs="仿宋"/>
                <w:color w:val="404040"/>
                <w:sz w:val="21"/>
                <w:szCs w:val="21"/>
              </w:rPr>
            </w:pPr>
            <w:r>
              <w:rPr>
                <w:rFonts w:hint="eastAsia" w:ascii="仿宋" w:hAnsi="仿宋" w:eastAsia="仿宋" w:cs="仿宋"/>
                <w:color w:val="404040"/>
                <w:sz w:val="21"/>
                <w:szCs w:val="21"/>
              </w:rPr>
              <w:t>智能物流构建与实训系统</w:t>
            </w:r>
          </w:p>
        </w:tc>
        <w:tc>
          <w:tcPr>
            <w:tcW w:w="447" w:type="pct"/>
            <w:vAlign w:val="center"/>
          </w:tcPr>
          <w:p>
            <w:pPr>
              <w:spacing w:after="0" w:line="240" w:lineRule="auto"/>
              <w:jc w:val="center"/>
              <w:rPr>
                <w:rFonts w:hint="eastAsia" w:ascii="仿宋" w:hAnsi="仿宋" w:eastAsia="仿宋" w:cs="仿宋"/>
                <w:color w:val="404040"/>
                <w:sz w:val="21"/>
                <w:szCs w:val="21"/>
              </w:rPr>
            </w:pPr>
            <w:r>
              <w:rPr>
                <w:rFonts w:hint="eastAsia" w:ascii="仿宋" w:hAnsi="仿宋" w:eastAsia="仿宋" w:cs="仿宋"/>
                <w:color w:val="404040"/>
                <w:sz w:val="21"/>
                <w:szCs w:val="21"/>
              </w:rPr>
              <w:t>1</w:t>
            </w:r>
          </w:p>
        </w:tc>
        <w:tc>
          <w:tcPr>
            <w:tcW w:w="400" w:type="pct"/>
            <w:vAlign w:val="center"/>
          </w:tcPr>
          <w:p>
            <w:pPr>
              <w:spacing w:after="0" w:line="240" w:lineRule="auto"/>
              <w:jc w:val="center"/>
              <w:rPr>
                <w:rFonts w:hint="eastAsia" w:ascii="仿宋" w:hAnsi="仿宋" w:eastAsia="仿宋" w:cs="仿宋"/>
                <w:color w:val="404040"/>
                <w:sz w:val="21"/>
                <w:szCs w:val="21"/>
                <w:lang w:val="en-US" w:eastAsia="zh-CN"/>
              </w:rPr>
            </w:pPr>
            <w:r>
              <w:rPr>
                <w:rFonts w:hint="eastAsia" w:ascii="仿宋" w:hAnsi="仿宋" w:eastAsia="仿宋" w:cs="仿宋"/>
                <w:color w:val="404040"/>
                <w:sz w:val="21"/>
                <w:szCs w:val="21"/>
                <w:lang w:val="en-US" w:eastAsia="zh-CN"/>
              </w:rPr>
              <w:t>套</w:t>
            </w:r>
          </w:p>
        </w:tc>
        <w:tc>
          <w:tcPr>
            <w:tcW w:w="907" w:type="pct"/>
            <w:vAlign w:val="center"/>
          </w:tcPr>
          <w:p>
            <w:pPr>
              <w:spacing w:after="0" w:line="240" w:lineRule="auto"/>
              <w:jc w:val="center"/>
              <w:rPr>
                <w:rFonts w:hint="default" w:ascii="仿宋" w:hAnsi="仿宋" w:eastAsia="仿宋" w:cs="仿宋"/>
                <w:color w:val="404040"/>
                <w:sz w:val="21"/>
                <w:szCs w:val="21"/>
                <w:lang w:val="en-US" w:eastAsia="zh-CN"/>
              </w:rPr>
            </w:pPr>
            <w:r>
              <w:rPr>
                <w:rFonts w:hint="eastAsia" w:ascii="仿宋" w:hAnsi="仿宋" w:eastAsia="仿宋" w:cs="仿宋"/>
                <w:color w:val="404040"/>
                <w:sz w:val="21"/>
                <w:szCs w:val="21"/>
              </w:rPr>
              <w:t>32</w:t>
            </w:r>
            <w:r>
              <w:rPr>
                <w:rFonts w:hint="eastAsia" w:ascii="仿宋" w:hAnsi="仿宋" w:eastAsia="仿宋" w:cs="仿宋"/>
                <w:color w:val="404040"/>
                <w:sz w:val="21"/>
                <w:szCs w:val="21"/>
                <w:lang w:val="en-US" w:eastAsia="zh-CN"/>
              </w:rPr>
              <w:t>0000</w:t>
            </w:r>
          </w:p>
        </w:tc>
        <w:tc>
          <w:tcPr>
            <w:tcW w:w="1003" w:type="pct"/>
            <w:vAlign w:val="center"/>
          </w:tcPr>
          <w:p>
            <w:pPr>
              <w:spacing w:after="0" w:line="240" w:lineRule="auto"/>
              <w:jc w:val="center"/>
              <w:rPr>
                <w:rFonts w:hint="default" w:ascii="仿宋" w:hAnsi="仿宋" w:eastAsia="仿宋" w:cs="仿宋"/>
                <w:color w:val="404040"/>
                <w:sz w:val="21"/>
                <w:szCs w:val="21"/>
                <w:lang w:val="en-US" w:eastAsia="zh-CN"/>
              </w:rPr>
            </w:pPr>
            <w:r>
              <w:rPr>
                <w:rFonts w:hint="eastAsia" w:ascii="仿宋" w:hAnsi="仿宋" w:eastAsia="仿宋" w:cs="仿宋"/>
                <w:color w:val="404040"/>
                <w:sz w:val="21"/>
                <w:szCs w:val="21"/>
              </w:rPr>
              <w:t>29</w:t>
            </w:r>
            <w:r>
              <w:rPr>
                <w:rFonts w:hint="eastAsia" w:ascii="仿宋" w:hAnsi="仿宋" w:eastAsia="仿宋" w:cs="仿宋"/>
                <w:color w:val="404040"/>
                <w:sz w:val="21"/>
                <w:szCs w:val="21"/>
                <w:lang w:val="en-US"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68" w:type="pct"/>
            <w:shd w:val="clear" w:color="auto" w:fill="auto"/>
            <w:vAlign w:val="center"/>
          </w:tcPr>
          <w:p>
            <w:pPr>
              <w:spacing w:after="0" w:line="240" w:lineRule="auto"/>
              <w:jc w:val="center"/>
              <w:rPr>
                <w:rFonts w:hint="eastAsia" w:ascii="仿宋" w:hAnsi="仿宋" w:eastAsia="仿宋" w:cs="仿宋"/>
                <w:color w:val="404040"/>
                <w:sz w:val="21"/>
                <w:szCs w:val="21"/>
              </w:rPr>
            </w:pPr>
            <w:r>
              <w:rPr>
                <w:rFonts w:hint="eastAsia" w:ascii="仿宋" w:hAnsi="仿宋" w:eastAsia="仿宋" w:cs="仿宋"/>
                <w:color w:val="404040"/>
                <w:sz w:val="21"/>
                <w:szCs w:val="21"/>
              </w:rPr>
              <w:t>2</w:t>
            </w:r>
          </w:p>
        </w:tc>
        <w:tc>
          <w:tcPr>
            <w:tcW w:w="1771" w:type="pct"/>
            <w:shd w:val="clear" w:color="auto" w:fill="auto"/>
            <w:vAlign w:val="center"/>
          </w:tcPr>
          <w:p>
            <w:pPr>
              <w:spacing w:after="0" w:line="240" w:lineRule="auto"/>
              <w:jc w:val="center"/>
              <w:rPr>
                <w:rFonts w:hint="eastAsia" w:ascii="仿宋" w:hAnsi="仿宋" w:eastAsia="仿宋" w:cs="仿宋"/>
                <w:color w:val="404040"/>
                <w:sz w:val="21"/>
                <w:szCs w:val="21"/>
              </w:rPr>
            </w:pPr>
            <w:r>
              <w:rPr>
                <w:rFonts w:hint="eastAsia" w:ascii="仿宋" w:hAnsi="仿宋" w:eastAsia="仿宋" w:cs="仿宋"/>
                <w:color w:val="404040"/>
                <w:sz w:val="21"/>
                <w:szCs w:val="21"/>
              </w:rPr>
              <w:t>智慧仓储综合实训</w:t>
            </w:r>
          </w:p>
        </w:tc>
        <w:tc>
          <w:tcPr>
            <w:tcW w:w="447" w:type="pct"/>
            <w:vAlign w:val="center"/>
          </w:tcPr>
          <w:p>
            <w:pPr>
              <w:spacing w:after="0" w:line="240" w:lineRule="auto"/>
              <w:jc w:val="center"/>
              <w:rPr>
                <w:rFonts w:hint="eastAsia" w:ascii="仿宋" w:hAnsi="仿宋" w:eastAsia="仿宋" w:cs="仿宋"/>
                <w:color w:val="404040"/>
                <w:sz w:val="21"/>
                <w:szCs w:val="21"/>
              </w:rPr>
            </w:pPr>
            <w:r>
              <w:rPr>
                <w:rFonts w:hint="eastAsia" w:ascii="仿宋" w:hAnsi="仿宋" w:eastAsia="仿宋" w:cs="仿宋"/>
                <w:color w:val="404040"/>
                <w:sz w:val="21"/>
                <w:szCs w:val="21"/>
              </w:rPr>
              <w:t>1</w:t>
            </w:r>
          </w:p>
        </w:tc>
        <w:tc>
          <w:tcPr>
            <w:tcW w:w="400" w:type="pct"/>
            <w:vAlign w:val="center"/>
          </w:tcPr>
          <w:p>
            <w:pPr>
              <w:spacing w:after="0" w:line="240" w:lineRule="auto"/>
              <w:jc w:val="center"/>
              <w:rPr>
                <w:rFonts w:hint="eastAsia" w:ascii="仿宋" w:hAnsi="仿宋" w:eastAsia="仿宋" w:cs="仿宋"/>
                <w:color w:val="404040"/>
                <w:sz w:val="21"/>
                <w:szCs w:val="21"/>
                <w:lang w:val="en-US" w:eastAsia="zh-CN"/>
              </w:rPr>
            </w:pPr>
            <w:r>
              <w:rPr>
                <w:rFonts w:hint="eastAsia" w:ascii="仿宋" w:hAnsi="仿宋" w:eastAsia="仿宋" w:cs="仿宋"/>
                <w:color w:val="404040"/>
                <w:sz w:val="21"/>
                <w:szCs w:val="21"/>
                <w:lang w:val="en-US" w:eastAsia="zh-CN"/>
              </w:rPr>
              <w:t>套</w:t>
            </w:r>
          </w:p>
        </w:tc>
        <w:tc>
          <w:tcPr>
            <w:tcW w:w="907" w:type="pct"/>
            <w:vAlign w:val="center"/>
          </w:tcPr>
          <w:p>
            <w:pPr>
              <w:spacing w:after="0" w:line="240" w:lineRule="auto"/>
              <w:jc w:val="center"/>
              <w:rPr>
                <w:rFonts w:hint="default" w:ascii="仿宋" w:hAnsi="仿宋" w:eastAsia="仿宋" w:cs="仿宋"/>
                <w:color w:val="404040"/>
                <w:sz w:val="21"/>
                <w:szCs w:val="21"/>
                <w:lang w:val="en-US" w:eastAsia="zh-CN"/>
              </w:rPr>
            </w:pPr>
            <w:r>
              <w:rPr>
                <w:rFonts w:hint="eastAsia" w:ascii="仿宋" w:hAnsi="仿宋" w:eastAsia="仿宋" w:cs="仿宋"/>
                <w:color w:val="404040"/>
                <w:sz w:val="21"/>
                <w:szCs w:val="21"/>
              </w:rPr>
              <w:t>24</w:t>
            </w:r>
            <w:r>
              <w:rPr>
                <w:rFonts w:hint="eastAsia" w:ascii="仿宋" w:hAnsi="仿宋" w:eastAsia="仿宋" w:cs="仿宋"/>
                <w:color w:val="404040"/>
                <w:sz w:val="21"/>
                <w:szCs w:val="21"/>
                <w:lang w:val="en-US" w:eastAsia="zh-CN"/>
              </w:rPr>
              <w:t>0000</w:t>
            </w:r>
          </w:p>
        </w:tc>
        <w:tc>
          <w:tcPr>
            <w:tcW w:w="1003" w:type="pct"/>
            <w:shd w:val="clear" w:color="auto" w:fill="auto"/>
            <w:vAlign w:val="center"/>
          </w:tcPr>
          <w:p>
            <w:pPr>
              <w:spacing w:after="0" w:line="240" w:lineRule="auto"/>
              <w:jc w:val="center"/>
              <w:rPr>
                <w:rFonts w:hint="default" w:ascii="仿宋" w:hAnsi="仿宋" w:eastAsia="仿宋" w:cs="仿宋"/>
                <w:color w:val="404040"/>
                <w:sz w:val="21"/>
                <w:szCs w:val="21"/>
                <w:lang w:val="en-US" w:eastAsia="zh-CN"/>
              </w:rPr>
            </w:pPr>
            <w:r>
              <w:rPr>
                <w:rFonts w:hint="eastAsia" w:ascii="仿宋" w:hAnsi="仿宋" w:eastAsia="仿宋" w:cs="仿宋"/>
                <w:color w:val="404040"/>
                <w:sz w:val="21"/>
                <w:szCs w:val="21"/>
              </w:rPr>
              <w:t>20</w:t>
            </w:r>
            <w:r>
              <w:rPr>
                <w:rFonts w:hint="eastAsia" w:ascii="仿宋" w:hAnsi="仿宋" w:eastAsia="仿宋" w:cs="仿宋"/>
                <w:color w:val="404040"/>
                <w:sz w:val="21"/>
                <w:szCs w:val="21"/>
                <w:lang w:val="en-US"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68" w:type="pct"/>
            <w:shd w:val="clear" w:color="auto" w:fill="auto"/>
            <w:vAlign w:val="center"/>
          </w:tcPr>
          <w:p>
            <w:pPr>
              <w:spacing w:after="0" w:line="240" w:lineRule="auto"/>
              <w:jc w:val="center"/>
              <w:rPr>
                <w:rFonts w:hint="eastAsia" w:ascii="仿宋" w:hAnsi="仿宋" w:eastAsia="仿宋" w:cs="仿宋"/>
                <w:color w:val="404040"/>
                <w:sz w:val="21"/>
                <w:szCs w:val="21"/>
              </w:rPr>
            </w:pPr>
            <w:r>
              <w:rPr>
                <w:rFonts w:hint="eastAsia" w:ascii="仿宋" w:hAnsi="仿宋" w:eastAsia="仿宋" w:cs="仿宋"/>
                <w:color w:val="404040"/>
                <w:sz w:val="21"/>
                <w:szCs w:val="21"/>
              </w:rPr>
              <w:t>3</w:t>
            </w:r>
          </w:p>
        </w:tc>
        <w:tc>
          <w:tcPr>
            <w:tcW w:w="1771" w:type="pct"/>
            <w:shd w:val="clear" w:color="auto" w:fill="auto"/>
            <w:vAlign w:val="center"/>
          </w:tcPr>
          <w:p>
            <w:pPr>
              <w:spacing w:after="0" w:line="240" w:lineRule="auto"/>
              <w:jc w:val="center"/>
              <w:rPr>
                <w:rFonts w:hint="eastAsia" w:ascii="仿宋" w:hAnsi="仿宋" w:eastAsia="仿宋" w:cs="仿宋"/>
                <w:color w:val="404040"/>
                <w:sz w:val="21"/>
                <w:szCs w:val="21"/>
              </w:rPr>
            </w:pPr>
            <w:r>
              <w:rPr>
                <w:rFonts w:hint="eastAsia" w:ascii="仿宋" w:hAnsi="仿宋" w:eastAsia="仿宋" w:cs="仿宋"/>
                <w:color w:val="404040"/>
                <w:sz w:val="21"/>
                <w:szCs w:val="21"/>
              </w:rPr>
              <w:t>物流与供应链实验推演系统</w:t>
            </w:r>
          </w:p>
        </w:tc>
        <w:tc>
          <w:tcPr>
            <w:tcW w:w="447" w:type="pct"/>
            <w:vAlign w:val="center"/>
          </w:tcPr>
          <w:p>
            <w:pPr>
              <w:spacing w:after="0" w:line="240" w:lineRule="auto"/>
              <w:jc w:val="center"/>
              <w:rPr>
                <w:rFonts w:hint="eastAsia" w:ascii="仿宋" w:hAnsi="仿宋" w:eastAsia="仿宋" w:cs="仿宋"/>
                <w:color w:val="404040"/>
                <w:sz w:val="21"/>
                <w:szCs w:val="21"/>
                <w:lang w:val="en-US" w:eastAsia="zh-CN"/>
              </w:rPr>
            </w:pPr>
            <w:r>
              <w:rPr>
                <w:rFonts w:hint="eastAsia" w:ascii="仿宋" w:hAnsi="仿宋" w:eastAsia="仿宋" w:cs="仿宋"/>
                <w:color w:val="404040"/>
                <w:sz w:val="21"/>
                <w:szCs w:val="21"/>
                <w:lang w:val="en-US" w:eastAsia="zh-CN"/>
              </w:rPr>
              <w:t>1</w:t>
            </w:r>
          </w:p>
        </w:tc>
        <w:tc>
          <w:tcPr>
            <w:tcW w:w="400" w:type="pct"/>
            <w:vAlign w:val="center"/>
          </w:tcPr>
          <w:p>
            <w:pPr>
              <w:spacing w:after="0" w:line="240" w:lineRule="auto"/>
              <w:jc w:val="center"/>
              <w:rPr>
                <w:rFonts w:hint="eastAsia" w:ascii="仿宋" w:hAnsi="仿宋" w:eastAsia="仿宋" w:cs="仿宋"/>
                <w:color w:val="404040"/>
                <w:sz w:val="21"/>
                <w:szCs w:val="21"/>
                <w:lang w:val="en-US" w:eastAsia="zh-CN"/>
              </w:rPr>
            </w:pPr>
            <w:r>
              <w:rPr>
                <w:rFonts w:hint="eastAsia" w:ascii="仿宋" w:hAnsi="仿宋" w:eastAsia="仿宋" w:cs="仿宋"/>
                <w:color w:val="404040"/>
                <w:sz w:val="21"/>
                <w:szCs w:val="21"/>
                <w:lang w:val="en-US" w:eastAsia="zh-CN"/>
              </w:rPr>
              <w:t>套</w:t>
            </w:r>
          </w:p>
        </w:tc>
        <w:tc>
          <w:tcPr>
            <w:tcW w:w="907" w:type="pct"/>
            <w:vAlign w:val="center"/>
          </w:tcPr>
          <w:p>
            <w:pPr>
              <w:spacing w:after="0" w:line="240" w:lineRule="auto"/>
              <w:jc w:val="center"/>
              <w:rPr>
                <w:rFonts w:hint="default" w:ascii="仿宋" w:hAnsi="仿宋" w:eastAsia="仿宋" w:cs="仿宋"/>
                <w:color w:val="404040"/>
                <w:sz w:val="21"/>
                <w:szCs w:val="21"/>
                <w:lang w:val="en-US" w:eastAsia="zh-CN"/>
              </w:rPr>
            </w:pPr>
            <w:r>
              <w:rPr>
                <w:rFonts w:hint="eastAsia" w:ascii="仿宋" w:hAnsi="仿宋" w:eastAsia="仿宋" w:cs="仿宋"/>
                <w:color w:val="404040"/>
                <w:sz w:val="21"/>
                <w:szCs w:val="21"/>
              </w:rPr>
              <w:t>21</w:t>
            </w:r>
            <w:r>
              <w:rPr>
                <w:rFonts w:hint="eastAsia" w:ascii="仿宋" w:hAnsi="仿宋" w:eastAsia="仿宋" w:cs="仿宋"/>
                <w:color w:val="404040"/>
                <w:sz w:val="21"/>
                <w:szCs w:val="21"/>
                <w:lang w:val="en-US" w:eastAsia="zh-CN"/>
              </w:rPr>
              <w:t>0000</w:t>
            </w:r>
          </w:p>
        </w:tc>
        <w:tc>
          <w:tcPr>
            <w:tcW w:w="1003" w:type="pct"/>
            <w:shd w:val="clear" w:color="auto" w:fill="auto"/>
            <w:vAlign w:val="center"/>
          </w:tcPr>
          <w:p>
            <w:pPr>
              <w:spacing w:after="0" w:line="240" w:lineRule="auto"/>
              <w:jc w:val="center"/>
              <w:rPr>
                <w:rFonts w:hint="default" w:ascii="仿宋" w:hAnsi="仿宋" w:eastAsia="仿宋" w:cs="仿宋"/>
                <w:color w:val="404040"/>
                <w:sz w:val="21"/>
                <w:szCs w:val="21"/>
                <w:lang w:val="en-US" w:eastAsia="zh-CN"/>
              </w:rPr>
            </w:pPr>
            <w:r>
              <w:rPr>
                <w:rFonts w:hint="eastAsia" w:ascii="仿宋" w:hAnsi="仿宋" w:eastAsia="仿宋" w:cs="仿宋"/>
                <w:color w:val="404040"/>
                <w:sz w:val="21"/>
                <w:szCs w:val="21"/>
              </w:rPr>
              <w:t>19</w:t>
            </w:r>
            <w:r>
              <w:rPr>
                <w:rFonts w:hint="eastAsia" w:ascii="仿宋" w:hAnsi="仿宋" w:eastAsia="仿宋" w:cs="仿宋"/>
                <w:color w:val="404040"/>
                <w:sz w:val="21"/>
                <w:szCs w:val="21"/>
                <w:lang w:val="en-US"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996" w:type="pct"/>
            <w:gridSpan w:val="5"/>
            <w:shd w:val="clear" w:color="auto" w:fill="auto"/>
            <w:vAlign w:val="center"/>
          </w:tcPr>
          <w:p>
            <w:pPr>
              <w:spacing w:after="0" w:line="240" w:lineRule="auto"/>
              <w:jc w:val="center"/>
              <w:rPr>
                <w:rFonts w:hint="eastAsia" w:ascii="仿宋" w:hAnsi="仿宋" w:eastAsia="仿宋" w:cs="仿宋"/>
                <w:b/>
                <w:bCs/>
                <w:color w:val="404040"/>
                <w:sz w:val="21"/>
                <w:szCs w:val="21"/>
              </w:rPr>
            </w:pPr>
            <w:r>
              <w:rPr>
                <w:rFonts w:hint="eastAsia" w:ascii="仿宋" w:hAnsi="仿宋" w:eastAsia="仿宋" w:cs="仿宋"/>
                <w:b/>
                <w:bCs/>
                <w:color w:val="404040"/>
                <w:sz w:val="21"/>
                <w:szCs w:val="21"/>
              </w:rPr>
              <w:t>总计</w:t>
            </w:r>
          </w:p>
        </w:tc>
        <w:tc>
          <w:tcPr>
            <w:tcW w:w="1003" w:type="pct"/>
            <w:shd w:val="clear" w:color="auto" w:fill="auto"/>
            <w:vAlign w:val="center"/>
          </w:tcPr>
          <w:p>
            <w:pPr>
              <w:spacing w:after="0" w:line="240" w:lineRule="auto"/>
              <w:jc w:val="center"/>
              <w:rPr>
                <w:rFonts w:hint="default" w:ascii="仿宋" w:hAnsi="仿宋" w:eastAsia="仿宋" w:cs="仿宋"/>
                <w:color w:val="404040"/>
                <w:sz w:val="21"/>
                <w:szCs w:val="21"/>
                <w:lang w:val="en-US" w:eastAsia="zh-CN"/>
              </w:rPr>
            </w:pPr>
            <w:r>
              <w:rPr>
                <w:rFonts w:hint="eastAsia" w:ascii="仿宋" w:hAnsi="仿宋" w:eastAsia="仿宋" w:cs="仿宋"/>
                <w:color w:val="404040"/>
                <w:sz w:val="21"/>
                <w:szCs w:val="21"/>
              </w:rPr>
              <w:t>68</w:t>
            </w:r>
            <w:r>
              <w:rPr>
                <w:rFonts w:hint="eastAsia" w:ascii="仿宋" w:hAnsi="仿宋" w:eastAsia="仿宋" w:cs="仿宋"/>
                <w:color w:val="404040"/>
                <w:sz w:val="21"/>
                <w:szCs w:val="21"/>
                <w:lang w:val="en-US" w:eastAsia="zh-CN"/>
              </w:rPr>
              <w:t>0000</w:t>
            </w:r>
          </w:p>
        </w:tc>
      </w:tr>
    </w:tbl>
    <w:p>
      <w:pPr>
        <w:rPr>
          <w:rFonts w:hint="default"/>
          <w:lang w:val="en-US" w:eastAsia="zh-CN"/>
        </w:rPr>
      </w:pP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5.3 生态物流产教融合</w:t>
      </w:r>
      <w:r>
        <w:rPr>
          <w:rFonts w:hint="default" w:ascii="方正仿宋_GB2312" w:hAnsi="方正仿宋_GB2312" w:eastAsia="方正仿宋_GB2312" w:cs="方正仿宋_GB2312"/>
          <w:b/>
          <w:bCs/>
          <w:sz w:val="24"/>
          <w:szCs w:val="24"/>
          <w:lang w:val="en-US" w:eastAsia="zh-CN"/>
        </w:rPr>
        <w:t>实践教学</w:t>
      </w:r>
      <w:r>
        <w:rPr>
          <w:rFonts w:hint="eastAsia" w:ascii="方正仿宋_GB2312" w:hAnsi="方正仿宋_GB2312" w:eastAsia="方正仿宋_GB2312" w:cs="方正仿宋_GB2312"/>
          <w:b/>
          <w:bCs/>
          <w:sz w:val="24"/>
          <w:szCs w:val="24"/>
          <w:lang w:val="en-US" w:eastAsia="zh-CN"/>
        </w:rPr>
        <w:t>基地投资策略</w:t>
      </w: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生态物流产教融合</w:t>
      </w:r>
      <w:r>
        <w:rPr>
          <w:rFonts w:hint="default" w:ascii="仿宋" w:hAnsi="仿宋" w:eastAsia="仿宋" w:cs="仿宋"/>
          <w:sz w:val="21"/>
          <w:szCs w:val="21"/>
          <w:lang w:val="en-US" w:eastAsia="zh-CN"/>
        </w:rPr>
        <w:t>实践教学</w:t>
      </w:r>
      <w:r>
        <w:rPr>
          <w:rFonts w:hint="eastAsia" w:ascii="仿宋" w:hAnsi="仿宋" w:eastAsia="仿宋" w:cs="仿宋"/>
          <w:sz w:val="21"/>
          <w:szCs w:val="21"/>
          <w:lang w:val="en-US" w:eastAsia="zh-CN"/>
        </w:rPr>
        <w:t>基地</w:t>
      </w:r>
      <w:r>
        <w:rPr>
          <w:rFonts w:hint="default" w:ascii="仿宋" w:hAnsi="仿宋" w:eastAsia="仿宋" w:cs="仿宋"/>
          <w:sz w:val="21"/>
          <w:szCs w:val="21"/>
          <w:lang w:val="en-US" w:eastAsia="zh-CN"/>
        </w:rPr>
        <w:t>具体投资策略</w:t>
      </w:r>
      <w:r>
        <w:rPr>
          <w:rFonts w:hint="eastAsia" w:ascii="仿宋" w:hAnsi="仿宋" w:eastAsia="仿宋" w:cs="仿宋"/>
          <w:sz w:val="21"/>
          <w:szCs w:val="21"/>
          <w:lang w:val="en-US" w:eastAsia="zh-CN"/>
        </w:rPr>
        <w:t>：由山东现代</w:t>
      </w:r>
      <w:r>
        <w:rPr>
          <w:rFonts w:hint="default" w:ascii="仿宋" w:hAnsi="仿宋" w:eastAsia="仿宋" w:cs="仿宋"/>
          <w:sz w:val="21"/>
          <w:szCs w:val="21"/>
          <w:lang w:val="en-US" w:eastAsia="zh-CN"/>
        </w:rPr>
        <w:t>学院提供运营场地</w:t>
      </w:r>
      <w:r>
        <w:rPr>
          <w:rFonts w:hint="eastAsia" w:ascii="仿宋" w:hAnsi="仿宋" w:eastAsia="仿宋" w:cs="仿宋"/>
          <w:sz w:val="21"/>
          <w:szCs w:val="21"/>
          <w:lang w:val="en-US" w:eastAsia="zh-CN"/>
        </w:rPr>
        <w:t>，快递企业</w:t>
      </w:r>
      <w:r>
        <w:rPr>
          <w:rFonts w:hint="default" w:ascii="仿宋" w:hAnsi="仿宋" w:eastAsia="仿宋" w:cs="仿宋"/>
          <w:sz w:val="21"/>
          <w:szCs w:val="21"/>
          <w:lang w:val="en-US" w:eastAsia="zh-CN"/>
        </w:rPr>
        <w:t>根据学校场地情况投资资金和设备，用于场地装修、设备配置和资源整合等。</w:t>
      </w:r>
    </w:p>
    <w:p>
      <w:pPr>
        <w:numPr>
          <w:ilvl w:val="0"/>
          <w:numId w:val="0"/>
        </w:numPr>
        <w:ind w:leftChars="0"/>
        <w:jc w:val="left"/>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6 </w:t>
      </w:r>
      <w:r>
        <w:rPr>
          <w:rFonts w:hint="default" w:ascii="方正仿宋_GB2312" w:hAnsi="方正仿宋_GB2312" w:eastAsia="方正仿宋_GB2312" w:cs="方正仿宋_GB2312"/>
          <w:b/>
          <w:bCs/>
          <w:sz w:val="24"/>
          <w:szCs w:val="24"/>
          <w:lang w:val="en-US" w:eastAsia="zh-CN"/>
        </w:rPr>
        <w:t>预</w:t>
      </w:r>
      <w:r>
        <w:rPr>
          <w:rFonts w:hint="eastAsia" w:ascii="方正仿宋_GB2312" w:hAnsi="方正仿宋_GB2312" w:eastAsia="方正仿宋_GB2312" w:cs="方正仿宋_GB2312"/>
          <w:b/>
          <w:bCs/>
          <w:sz w:val="24"/>
          <w:szCs w:val="24"/>
          <w:lang w:val="en-US" w:eastAsia="zh-CN"/>
        </w:rPr>
        <w:t>期效果</w:t>
      </w: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w:t>
      </w:r>
      <w:r>
        <w:rPr>
          <w:rFonts w:hint="default" w:ascii="仿宋" w:hAnsi="仿宋" w:eastAsia="仿宋" w:cs="仿宋"/>
          <w:sz w:val="21"/>
          <w:szCs w:val="21"/>
          <w:lang w:val="en-US" w:eastAsia="zh-CN"/>
        </w:rPr>
        <w:t>建立安全、绿色、高效的校园快递秩序，建设和谐有序的智慧校园、平安校园环境。</w:t>
      </w: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w:t>
      </w:r>
      <w:r>
        <w:rPr>
          <w:rFonts w:hint="default" w:ascii="仿宋" w:hAnsi="仿宋" w:eastAsia="仿宋" w:cs="仿宋"/>
          <w:sz w:val="21"/>
          <w:szCs w:val="21"/>
          <w:lang w:val="en-US" w:eastAsia="zh-CN"/>
        </w:rPr>
        <w:t>构建</w:t>
      </w:r>
      <w:r>
        <w:rPr>
          <w:rFonts w:hint="eastAsia" w:ascii="仿宋" w:hAnsi="仿宋" w:eastAsia="仿宋" w:cs="仿宋"/>
          <w:sz w:val="21"/>
          <w:szCs w:val="21"/>
          <w:lang w:val="en-US" w:eastAsia="zh-CN"/>
        </w:rPr>
        <w:t>了</w:t>
      </w:r>
      <w:r>
        <w:rPr>
          <w:rFonts w:hint="default" w:ascii="仿宋" w:hAnsi="仿宋" w:eastAsia="仿宋" w:cs="仿宋"/>
          <w:sz w:val="21"/>
          <w:szCs w:val="21"/>
          <w:lang w:val="en-US" w:eastAsia="zh-CN"/>
        </w:rPr>
        <w:t>面向物流</w:t>
      </w:r>
      <w:r>
        <w:rPr>
          <w:rFonts w:hint="eastAsia" w:ascii="仿宋" w:hAnsi="仿宋" w:eastAsia="仿宋" w:cs="仿宋"/>
          <w:sz w:val="21"/>
          <w:szCs w:val="21"/>
          <w:lang w:val="en-US" w:eastAsia="zh-CN"/>
        </w:rPr>
        <w:t>管理</w:t>
      </w:r>
      <w:r>
        <w:rPr>
          <w:rFonts w:hint="default" w:ascii="仿宋" w:hAnsi="仿宋" w:eastAsia="仿宋" w:cs="仿宋"/>
          <w:sz w:val="21"/>
          <w:szCs w:val="21"/>
          <w:lang w:val="en-US" w:eastAsia="zh-CN"/>
        </w:rPr>
        <w:t>、</w:t>
      </w:r>
      <w:r>
        <w:rPr>
          <w:rFonts w:hint="eastAsia" w:ascii="仿宋" w:hAnsi="仿宋" w:eastAsia="仿宋" w:cs="仿宋"/>
          <w:sz w:val="21"/>
          <w:szCs w:val="21"/>
          <w:lang w:val="en-US" w:eastAsia="zh-CN"/>
        </w:rPr>
        <w:t>交通运输、电子信息、人工智能</w:t>
      </w:r>
      <w:r>
        <w:rPr>
          <w:rFonts w:hint="default" w:ascii="仿宋" w:hAnsi="仿宋" w:eastAsia="仿宋" w:cs="仿宋"/>
          <w:sz w:val="21"/>
          <w:szCs w:val="21"/>
          <w:lang w:val="en-US" w:eastAsia="zh-CN"/>
        </w:rPr>
        <w:t>等学科专业的实践教学基地。</w:t>
      </w: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（3）在师资队伍</w:t>
      </w:r>
      <w:r>
        <w:rPr>
          <w:rFonts w:hint="default" w:ascii="仿宋" w:hAnsi="仿宋" w:eastAsia="仿宋" w:cs="仿宋"/>
          <w:sz w:val="21"/>
          <w:szCs w:val="21"/>
          <w:lang w:val="en-US" w:eastAsia="zh-CN"/>
        </w:rPr>
        <w:t>建设</w:t>
      </w:r>
      <w:r>
        <w:rPr>
          <w:rFonts w:hint="eastAsia" w:ascii="仿宋" w:hAnsi="仿宋" w:eastAsia="仿宋" w:cs="仿宋"/>
          <w:sz w:val="21"/>
          <w:szCs w:val="21"/>
          <w:lang w:val="en-US" w:eastAsia="zh-CN"/>
        </w:rPr>
        <w:t>方面，培养了</w:t>
      </w:r>
      <w:r>
        <w:rPr>
          <w:rFonts w:hint="default" w:ascii="仿宋" w:hAnsi="仿宋" w:eastAsia="仿宋" w:cs="仿宋"/>
          <w:sz w:val="21"/>
          <w:szCs w:val="21"/>
          <w:lang w:val="en-US" w:eastAsia="zh-CN"/>
        </w:rPr>
        <w:t>双师型教研团队，</w:t>
      </w:r>
      <w:r>
        <w:rPr>
          <w:rFonts w:hint="eastAsia" w:ascii="仿宋" w:hAnsi="仿宋" w:eastAsia="仿宋" w:cs="仿宋"/>
          <w:sz w:val="21"/>
          <w:szCs w:val="21"/>
          <w:lang w:val="en-US" w:eastAsia="zh-CN"/>
        </w:rPr>
        <w:t>建设</w:t>
      </w:r>
      <w:r>
        <w:rPr>
          <w:rFonts w:hint="default" w:ascii="仿宋" w:hAnsi="仿宋" w:eastAsia="仿宋" w:cs="仿宋"/>
          <w:sz w:val="21"/>
          <w:szCs w:val="21"/>
          <w:lang w:val="en-US" w:eastAsia="zh-CN"/>
        </w:rPr>
        <w:t>实践能力强的高水平师资队伍。</w:t>
      </w: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w:t>
      </w:r>
      <w:r>
        <w:rPr>
          <w:rFonts w:hint="default" w:ascii="仿宋" w:hAnsi="仿宋" w:eastAsia="仿宋" w:cs="仿宋"/>
          <w:sz w:val="21"/>
          <w:szCs w:val="21"/>
          <w:lang w:val="en-US" w:eastAsia="zh-CN"/>
        </w:rPr>
        <w:t>4</w:t>
      </w:r>
      <w:r>
        <w:rPr>
          <w:rFonts w:hint="eastAsia" w:ascii="仿宋" w:hAnsi="仿宋" w:eastAsia="仿宋" w:cs="仿宋"/>
          <w:sz w:val="21"/>
          <w:szCs w:val="21"/>
          <w:lang w:val="en-US" w:eastAsia="zh-CN"/>
        </w:rPr>
        <w:t>）</w:t>
      </w:r>
      <w:r>
        <w:rPr>
          <w:rFonts w:hint="default" w:ascii="仿宋" w:hAnsi="仿宋" w:eastAsia="仿宋" w:cs="仿宋"/>
          <w:sz w:val="21"/>
          <w:szCs w:val="21"/>
          <w:lang w:val="en-US" w:eastAsia="zh-CN"/>
        </w:rPr>
        <w:t>创新特色鲜明的产教深度融合的协同育人模式，构建高质量创新型人才培养体系。</w:t>
      </w: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w:t>
      </w:r>
      <w:r>
        <w:rPr>
          <w:rFonts w:hint="default" w:ascii="仿宋" w:hAnsi="仿宋" w:eastAsia="仿宋" w:cs="仿宋"/>
          <w:sz w:val="21"/>
          <w:szCs w:val="21"/>
          <w:lang w:val="en-US" w:eastAsia="zh-CN"/>
        </w:rPr>
        <w:t>5</w:t>
      </w:r>
      <w:r>
        <w:rPr>
          <w:rFonts w:hint="eastAsia" w:ascii="仿宋" w:hAnsi="仿宋" w:eastAsia="仿宋" w:cs="仿宋"/>
          <w:sz w:val="21"/>
          <w:szCs w:val="21"/>
          <w:lang w:val="en-US" w:eastAsia="zh-CN"/>
        </w:rPr>
        <w:t>）</w:t>
      </w:r>
      <w:r>
        <w:rPr>
          <w:rFonts w:hint="default" w:ascii="仿宋" w:hAnsi="仿宋" w:eastAsia="仿宋" w:cs="仿宋"/>
          <w:sz w:val="21"/>
          <w:szCs w:val="21"/>
          <w:lang w:val="en-US" w:eastAsia="zh-CN"/>
        </w:rPr>
        <w:t>打通了学校专业技术研究、成果转化、应用复制的发展通道。</w:t>
      </w: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w:t>
      </w:r>
      <w:r>
        <w:rPr>
          <w:rFonts w:hint="default" w:ascii="仿宋" w:hAnsi="仿宋" w:eastAsia="仿宋" w:cs="仿宋"/>
          <w:sz w:val="21"/>
          <w:szCs w:val="21"/>
          <w:lang w:val="en-US" w:eastAsia="zh-CN"/>
        </w:rPr>
        <w:t>6</w:t>
      </w:r>
      <w:r>
        <w:rPr>
          <w:rFonts w:hint="eastAsia" w:ascii="仿宋" w:hAnsi="仿宋" w:eastAsia="仿宋" w:cs="仿宋"/>
          <w:sz w:val="21"/>
          <w:szCs w:val="21"/>
          <w:lang w:val="en-US" w:eastAsia="zh-CN"/>
        </w:rPr>
        <w:t>）</w:t>
      </w:r>
      <w:r>
        <w:rPr>
          <w:rFonts w:hint="default" w:ascii="仿宋" w:hAnsi="仿宋" w:eastAsia="仿宋" w:cs="仿宋"/>
          <w:sz w:val="21"/>
          <w:szCs w:val="21"/>
          <w:lang w:val="en-US" w:eastAsia="zh-CN"/>
        </w:rPr>
        <w:t>搭建起大学生创新创业与社会需求对接的平台，引入阿里巴巴商业领袖级企业培育机制，培养新零售时代大学生创新创业精英。</w:t>
      </w: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本项目的最终目标是建成省内领先、国内颇具影响力的产教融合协同育人示范项目，为现代物流发展提供新服务模式、新技术服务设施和新业态的应用示范。</w:t>
      </w:r>
    </w:p>
    <w:p>
      <w:pPr>
        <w:pStyle w:val="2"/>
        <w:rPr>
          <w:rFonts w:hint="default" w:ascii="仿宋" w:hAnsi="仿宋" w:eastAsia="仿宋" w:cs="仿宋"/>
          <w:sz w:val="21"/>
          <w:szCs w:val="21"/>
          <w:lang w:val="en-US" w:eastAsia="zh-CN"/>
        </w:rPr>
      </w:pPr>
    </w:p>
    <w:p>
      <w:pPr>
        <w:pStyle w:val="2"/>
        <w:rPr>
          <w:rFonts w:hint="default" w:ascii="仿宋" w:hAnsi="仿宋" w:eastAsia="仿宋" w:cs="仿宋"/>
          <w:sz w:val="21"/>
          <w:szCs w:val="21"/>
          <w:lang w:val="en-US" w:eastAsia="zh-CN"/>
        </w:rPr>
      </w:pPr>
    </w:p>
    <w:p>
      <w:pPr>
        <w:numPr>
          <w:ilvl w:val="0"/>
          <w:numId w:val="0"/>
        </w:numPr>
        <w:autoSpaceDE/>
        <w:autoSpaceDN/>
        <w:spacing w:before="0" w:after="0" w:line="240" w:lineRule="auto"/>
        <w:ind w:left="0" w:leftChars="0" w:right="0" w:firstLine="420" w:firstLineChars="0"/>
        <w:jc w:val="both"/>
        <w:rPr>
          <w:rFonts w:hint="default" w:ascii="仿宋" w:hAnsi="仿宋" w:eastAsia="仿宋" w:cs="仿宋"/>
          <w:sz w:val="21"/>
          <w:szCs w:val="21"/>
          <w:lang w:val="en-US" w:eastAsia="zh-CN"/>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1" w:fontKey="{CE7E12BE-3198-4D2F-9B61-5A4AC54D8F4D}"/>
  </w:font>
  <w:font w:name="华文中宋">
    <w:panose1 w:val="02010600040101010101"/>
    <w:charset w:val="86"/>
    <w:family w:val="auto"/>
    <w:pitch w:val="default"/>
    <w:sig w:usb0="00000287" w:usb1="080F0000" w:usb2="00000000" w:usb3="00000000" w:csb0="0004009F" w:csb1="DFD70000"/>
    <w:embedRegular r:id="rId2" w:fontKey="{5DB8D040-A8C5-43EB-BC99-11C5F220CC64}"/>
  </w:font>
  <w:font w:name="方正仿宋_GB2312">
    <w:panose1 w:val="02000000000000000000"/>
    <w:charset w:val="86"/>
    <w:family w:val="auto"/>
    <w:pitch w:val="default"/>
    <w:sig w:usb0="A00002BF" w:usb1="184F6CFA" w:usb2="00000012" w:usb3="00000000" w:csb0="00040001" w:csb1="00000000"/>
    <w:embedRegular r:id="rId3" w:fontKey="{6D6B077D-0374-4170-8FED-786DD96386DF}"/>
  </w:font>
  <w:font w:name="仿宋">
    <w:panose1 w:val="02010609060101010101"/>
    <w:charset w:val="86"/>
    <w:family w:val="auto"/>
    <w:pitch w:val="default"/>
    <w:sig w:usb0="800002BF" w:usb1="38CF7CFA" w:usb2="00000016" w:usb3="00000000" w:csb0="00040001" w:csb1="00000000"/>
    <w:embedRegular r:id="rId4" w:fontKey="{A6757DAD-38BA-4F0C-836A-64110C084F8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numPr>
        <w:ilvl w:val="0"/>
        <w:numId w:val="0"/>
      </w:numPr>
      <w:autoSpaceDE/>
      <w:autoSpaceDN/>
      <w:snapToGrid w:val="0"/>
      <w:spacing w:before="0" w:after="0" w:line="240" w:lineRule="auto"/>
      <w:ind w:right="0" w:firstLine="0"/>
      <w:jc w:val="right"/>
      <w:rPr>
        <w:rFonts w:hint="default" w:ascii="等线" w:hAnsi="Times New Roman" w:eastAsia="Times New Roman"/>
        <w:color w:val="auto"/>
        <w:position w:val="0"/>
        <w:sz w:val="18"/>
        <w:szCs w:val="18"/>
      </w:rPr>
    </w:pPr>
    <w:r>
      <w:rPr>
        <w:rFonts w:hint="default" w:ascii="等线" w:hAnsi="Times New Roman" w:eastAsia="Times New Roman"/>
        <w:color w:val="auto"/>
        <w:position w:val="0"/>
        <w:sz w:val="18"/>
        <w:szCs w:val="18"/>
      </w:rPr>
      <w:t xml:space="preserve"> </w:t>
    </w:r>
    <w:r>
      <w:rPr>
        <w:rFonts w:hint="default" w:ascii="等线" w:hAnsi="Times New Roman" w:eastAsia="Times New Roman"/>
        <w:color w:val="auto"/>
        <w:position w:val="0"/>
        <w:sz w:val="18"/>
        <w:szCs w:val="18"/>
      </w:rPr>
      <w:fldChar w:fldCharType="begin"/>
    </w:r>
    <w:r>
      <w:instrText xml:space="preserve">PAGE  \* MERGEFORMAT</w:instrText>
    </w:r>
    <w:r>
      <w:fldChar w:fldCharType="separate"/>
    </w:r>
    <w:r>
      <w:rPr>
        <w:rFonts w:hint="default" w:ascii="等线" w:hAnsi="Times New Roman" w:eastAsia="Times New Roman"/>
        <w:b/>
        <w:color w:val="auto"/>
        <w:position w:val="0"/>
        <w:sz w:val="18"/>
        <w:szCs w:val="18"/>
      </w:rPr>
      <w:t>6</w:t>
    </w:r>
    <w:r>
      <w:rPr>
        <w:rFonts w:hint="default" w:ascii="等线" w:hAnsi="Times New Roman" w:eastAsia="Times New Roman"/>
        <w:b/>
        <w:color w:val="auto"/>
        <w:position w:val="0"/>
        <w:sz w:val="24"/>
        <w:szCs w:val="24"/>
      </w:rPr>
      <w:fldChar w:fldCharType="end"/>
    </w:r>
    <w:r>
      <w:rPr>
        <w:rFonts w:hint="default" w:ascii="等线" w:hAnsi="Times New Roman" w:eastAsia="Times New Roman"/>
        <w:color w:val="auto"/>
        <w:position w:val="0"/>
        <w:sz w:val="18"/>
        <w:szCs w:val="18"/>
      </w:rPr>
      <w:t xml:space="preserve"> / </w:t>
    </w:r>
    <w:r>
      <w:rPr>
        <w:rFonts w:hint="default" w:ascii="等线" w:hAnsi="Times New Roman" w:eastAsia="Times New Roman"/>
        <w:color w:val="auto"/>
        <w:position w:val="0"/>
        <w:sz w:val="18"/>
        <w:szCs w:val="18"/>
      </w:rPr>
      <w:fldChar w:fldCharType="begin"/>
    </w:r>
    <w:r>
      <w:instrText xml:space="preserve">NUMPAGES  \* MERGEFORMAT</w:instrText>
    </w:r>
    <w:r>
      <w:fldChar w:fldCharType="separate"/>
    </w:r>
    <w:r>
      <w:rPr>
        <w:rFonts w:hint="default" w:ascii="等线" w:hAnsi="Times New Roman" w:eastAsia="Times New Roman"/>
        <w:b/>
        <w:color w:val="auto"/>
        <w:position w:val="0"/>
        <w:sz w:val="18"/>
        <w:szCs w:val="18"/>
      </w:rPr>
      <w:t>9</w:t>
    </w:r>
    <w:r>
      <w:rPr>
        <w:rFonts w:hint="default" w:ascii="等线" w:hAnsi="Times New Roman" w:eastAsia="Times New Roman"/>
        <w:b/>
        <w:color w:val="auto"/>
        <w:position w:val="0"/>
        <w:sz w:val="24"/>
        <w:szCs w:val="24"/>
      </w:rPr>
      <w:fldChar w:fldCharType="end"/>
    </w:r>
  </w:p>
  <w:p>
    <w:pPr>
      <w:pStyle w:val="19"/>
      <w:numPr>
        <w:ilvl w:val="0"/>
        <w:numId w:val="0"/>
      </w:numPr>
      <w:autoSpaceDE/>
      <w:autoSpaceDN/>
      <w:snapToGrid w:val="0"/>
      <w:spacing w:before="0" w:after="0" w:line="240" w:lineRule="auto"/>
      <w:ind w:right="0" w:firstLine="0"/>
      <w:jc w:val="left"/>
      <w:rPr>
        <w:rFonts w:hint="default" w:ascii="等线" w:hAnsi="Times New Roman" w:eastAsia="Times New Roman"/>
        <w:color w:val="auto"/>
        <w:position w:val="0"/>
        <w:sz w:val="18"/>
        <w:szCs w:val="1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38"/>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
  <w:docVars>
    <w:docVar w:name="commondata" w:val="eyJoZGlkIjoiMDlmNDdjNzJjZmJiNTUxN2Y3ZjMxZDliNWQxMGRmOWEifQ=="/>
  </w:docVars>
  <w:rsids>
    <w:rsidRoot w:val="00000000"/>
    <w:rsid w:val="02E244CB"/>
    <w:rsid w:val="037D56E7"/>
    <w:rsid w:val="03B44E81"/>
    <w:rsid w:val="03D80B70"/>
    <w:rsid w:val="046C3066"/>
    <w:rsid w:val="04AF7112"/>
    <w:rsid w:val="05D600BE"/>
    <w:rsid w:val="06654211"/>
    <w:rsid w:val="06C75C3F"/>
    <w:rsid w:val="08114650"/>
    <w:rsid w:val="08332819"/>
    <w:rsid w:val="089F1C5C"/>
    <w:rsid w:val="09EF09C1"/>
    <w:rsid w:val="09F41468"/>
    <w:rsid w:val="0A074461"/>
    <w:rsid w:val="0AAE6186"/>
    <w:rsid w:val="0CC779D3"/>
    <w:rsid w:val="0D2B61B4"/>
    <w:rsid w:val="0D3E3C8A"/>
    <w:rsid w:val="0D5211B7"/>
    <w:rsid w:val="0D9378B6"/>
    <w:rsid w:val="0DAE649D"/>
    <w:rsid w:val="0ED80D13"/>
    <w:rsid w:val="0F0942D3"/>
    <w:rsid w:val="107F4121"/>
    <w:rsid w:val="1356385F"/>
    <w:rsid w:val="146855F8"/>
    <w:rsid w:val="14AF1479"/>
    <w:rsid w:val="16585B40"/>
    <w:rsid w:val="16783AEC"/>
    <w:rsid w:val="18B90B18"/>
    <w:rsid w:val="193D197C"/>
    <w:rsid w:val="1C2344FA"/>
    <w:rsid w:val="1DEE36F3"/>
    <w:rsid w:val="1E3D54D5"/>
    <w:rsid w:val="1ED1023E"/>
    <w:rsid w:val="1FD224BF"/>
    <w:rsid w:val="201725C8"/>
    <w:rsid w:val="2059673D"/>
    <w:rsid w:val="22835CF3"/>
    <w:rsid w:val="23270D74"/>
    <w:rsid w:val="24ED38F7"/>
    <w:rsid w:val="25B20DC9"/>
    <w:rsid w:val="25B609DA"/>
    <w:rsid w:val="2642226F"/>
    <w:rsid w:val="29B87CEA"/>
    <w:rsid w:val="2AD6555A"/>
    <w:rsid w:val="2C6D3C9C"/>
    <w:rsid w:val="2D652BC5"/>
    <w:rsid w:val="2D9D0258"/>
    <w:rsid w:val="2DA82AB1"/>
    <w:rsid w:val="2E8157DC"/>
    <w:rsid w:val="2E9F315C"/>
    <w:rsid w:val="2EDA51C9"/>
    <w:rsid w:val="322748ED"/>
    <w:rsid w:val="322E2CC1"/>
    <w:rsid w:val="32EB76C8"/>
    <w:rsid w:val="33435756"/>
    <w:rsid w:val="34CC52D7"/>
    <w:rsid w:val="372E2279"/>
    <w:rsid w:val="387E4B3B"/>
    <w:rsid w:val="388F6D48"/>
    <w:rsid w:val="38B60778"/>
    <w:rsid w:val="39406294"/>
    <w:rsid w:val="39445D84"/>
    <w:rsid w:val="399A1E48"/>
    <w:rsid w:val="3A30455A"/>
    <w:rsid w:val="3B710987"/>
    <w:rsid w:val="3BF462D3"/>
    <w:rsid w:val="3DD6576A"/>
    <w:rsid w:val="3E495BEB"/>
    <w:rsid w:val="3FEB58DE"/>
    <w:rsid w:val="40EB2F89"/>
    <w:rsid w:val="410F0A26"/>
    <w:rsid w:val="412D70FE"/>
    <w:rsid w:val="419B49AF"/>
    <w:rsid w:val="42CD2946"/>
    <w:rsid w:val="448B0D0B"/>
    <w:rsid w:val="44BA339E"/>
    <w:rsid w:val="4712301E"/>
    <w:rsid w:val="47653A95"/>
    <w:rsid w:val="47A8634D"/>
    <w:rsid w:val="48A91760"/>
    <w:rsid w:val="4BE03198"/>
    <w:rsid w:val="4C4F261E"/>
    <w:rsid w:val="4E192EE4"/>
    <w:rsid w:val="5038161B"/>
    <w:rsid w:val="51241D9C"/>
    <w:rsid w:val="52235AA1"/>
    <w:rsid w:val="556F1F83"/>
    <w:rsid w:val="56F86467"/>
    <w:rsid w:val="56FB1B4B"/>
    <w:rsid w:val="589D0BB5"/>
    <w:rsid w:val="59411541"/>
    <w:rsid w:val="5A131CE8"/>
    <w:rsid w:val="5BA069F2"/>
    <w:rsid w:val="5C225659"/>
    <w:rsid w:val="5F50072F"/>
    <w:rsid w:val="5F522E28"/>
    <w:rsid w:val="6017021D"/>
    <w:rsid w:val="61EE5FDE"/>
    <w:rsid w:val="62864468"/>
    <w:rsid w:val="62A20EC5"/>
    <w:rsid w:val="632C3261"/>
    <w:rsid w:val="637F7835"/>
    <w:rsid w:val="63DE0C39"/>
    <w:rsid w:val="655F347A"/>
    <w:rsid w:val="65847385"/>
    <w:rsid w:val="68F24605"/>
    <w:rsid w:val="6A1A7CF2"/>
    <w:rsid w:val="6A7C51FD"/>
    <w:rsid w:val="6AB2229E"/>
    <w:rsid w:val="6AF451FF"/>
    <w:rsid w:val="6B6A4927"/>
    <w:rsid w:val="6C4D6722"/>
    <w:rsid w:val="6E8D72AA"/>
    <w:rsid w:val="6F3B4F58"/>
    <w:rsid w:val="70D80585"/>
    <w:rsid w:val="72FB055A"/>
    <w:rsid w:val="73AA6208"/>
    <w:rsid w:val="770976EA"/>
    <w:rsid w:val="771340C5"/>
    <w:rsid w:val="771A6017"/>
    <w:rsid w:val="77E3618D"/>
    <w:rsid w:val="79002D6F"/>
    <w:rsid w:val="79D55454"/>
    <w:rsid w:val="7CB023B6"/>
    <w:rsid w:val="7DDA6F12"/>
    <w:rsid w:val="7EF303AE"/>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iPriority="8" w:name="heading 2"/>
    <w:lsdException w:qFormat="1" w:uiPriority="9" w:name="heading 3"/>
    <w:lsdException w:qFormat="1" w:uiPriority="10" w:name="heading 4"/>
    <w:lsdException w:qFormat="1" w:uiPriority="11" w:name="heading 5"/>
    <w:lsdException w:qFormat="1" w:uiPriority="12" w:name="heading 6"/>
    <w:lsdException w:qFormat="1" w:unhideWhenUsed="0" w:uiPriority="13" w:semiHidden="0" w:name="heading 7"/>
    <w:lsdException w:qFormat="1" w:unhideWhenUsed="0" w:uiPriority="14" w:semiHidden="0" w:name="heading 8"/>
    <w:lsdException w:qFormat="1" w:unhideWhenUsed="0" w:uiPriority="15"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28" w:semiHidden="0" w:name="toc 1"/>
    <w:lsdException w:qFormat="1" w:uiPriority="29" w:semiHidden="0" w:name="toc 2"/>
    <w:lsdException w:qFormat="1" w:uiPriority="30" w:semiHidden="0" w:name="toc 3"/>
    <w:lsdException w:qFormat="1" w:uiPriority="31" w:semiHidden="0" w:name="toc 4"/>
    <w:lsdException w:qFormat="1" w:uiPriority="32" w:semiHidden="0" w:name="toc 5"/>
    <w:lsdException w:qFormat="1" w:uiPriority="33" w:semiHidden="0" w:name="toc 6"/>
    <w:lsdException w:qFormat="1" w:uiPriority="34" w:semiHidden="0" w:name="toc 7"/>
    <w:lsdException w:qFormat="1" w:uiPriority="35" w:semiHidden="0" w:name="toc 8"/>
    <w:lsdException w:qFormat="1" w:uiPriority="36"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152" w:semiHidden="0" w:name="header"/>
    <w:lsdException w:qFormat="1" w:uiPriority="154"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6" w:semiHidden="0" w:name="Title"/>
    <w:lsdException w:unhideWhenUsed="0" w:uiPriority="0" w:semiHidden="0" w:name="Closing"/>
    <w:lsdException w:unhideWhenUsed="0" w:uiPriority="0" w:semiHidden="0" w:name="Signature"/>
    <w:lsdException w:qFormat="1" w:uiPriority="2"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6"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0" w:semiHidden="0" w:name="Strong"/>
    <w:lsdException w:qFormat="1" w:unhideWhenUsed="0" w:uiPriority="18"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37"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157" w:name="Balloon Text"/>
    <w:lsdException w:unhideWhenUsed="0" w:uiPriority="0" w:semiHidden="0" w:name="Table Grid"/>
    <w:lsdException w:unhideWhenUsed="0" w:uiPriority="0" w:semiHidden="0" w:name="Table Theme"/>
    <w:lsdException w:qFormat="1" w:unhideWhenUsed="0" w:uiPriority="5"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qFormat="1" w:unhideWhenUsed="0" w:uiPriority="21" w:semiHidden="0" w:name="Quote"/>
    <w:lsdException w:qFormat="1" w:unhideWhenUsed="0" w:uiPriority="22"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wordWrap/>
      <w:autoSpaceDE/>
      <w:autoSpaceDN/>
      <w:jc w:val="both"/>
    </w:pPr>
    <w:rPr>
      <w:rFonts w:ascii="等线" w:hAnsi="等线" w:eastAsia="Times New Roman" w:cstheme="minorBidi"/>
      <w:w w:val="100"/>
      <w:sz w:val="21"/>
      <w:szCs w:val="21"/>
      <w:shd w:val="clear"/>
    </w:rPr>
  </w:style>
  <w:style w:type="paragraph" w:styleId="3">
    <w:name w:val="heading 1"/>
    <w:next w:val="1"/>
    <w:qFormat/>
    <w:uiPriority w:val="7"/>
    <w:pPr>
      <w:widowControl/>
      <w:wordWrap/>
      <w:autoSpaceDE/>
      <w:autoSpaceDN/>
      <w:jc w:val="both"/>
    </w:pPr>
    <w:rPr>
      <w:rFonts w:ascii="等线" w:hAnsi="等线" w:eastAsia="Times New Roman" w:cstheme="minorBidi"/>
      <w:w w:val="100"/>
      <w:sz w:val="28"/>
      <w:szCs w:val="28"/>
      <w:shd w:val="clear"/>
    </w:rPr>
  </w:style>
  <w:style w:type="paragraph" w:styleId="4">
    <w:name w:val="heading 2"/>
    <w:next w:val="1"/>
    <w:semiHidden/>
    <w:unhideWhenUsed/>
    <w:qFormat/>
    <w:uiPriority w:val="8"/>
    <w:pPr>
      <w:widowControl/>
      <w:wordWrap/>
      <w:autoSpaceDE/>
      <w:autoSpaceDN/>
      <w:jc w:val="both"/>
    </w:pPr>
    <w:rPr>
      <w:rFonts w:ascii="等线" w:hAnsi="等线" w:eastAsia="Times New Roman" w:cstheme="minorBidi"/>
      <w:w w:val="100"/>
      <w:sz w:val="21"/>
      <w:szCs w:val="21"/>
      <w:shd w:val="clear"/>
    </w:rPr>
  </w:style>
  <w:style w:type="paragraph" w:styleId="5">
    <w:name w:val="heading 3"/>
    <w:next w:val="1"/>
    <w:semiHidden/>
    <w:unhideWhenUsed/>
    <w:qFormat/>
    <w:uiPriority w:val="9"/>
    <w:pPr>
      <w:widowControl/>
      <w:wordWrap/>
      <w:autoSpaceDE/>
      <w:autoSpaceDN/>
      <w:ind w:left="1000" w:hanging="400"/>
      <w:jc w:val="both"/>
    </w:pPr>
    <w:rPr>
      <w:rFonts w:ascii="等线" w:hAnsi="等线" w:eastAsia="Times New Roman" w:cstheme="minorBidi"/>
      <w:w w:val="100"/>
      <w:sz w:val="21"/>
      <w:szCs w:val="21"/>
      <w:shd w:val="clear"/>
    </w:rPr>
  </w:style>
  <w:style w:type="paragraph" w:styleId="6">
    <w:name w:val="heading 4"/>
    <w:next w:val="1"/>
    <w:semiHidden/>
    <w:unhideWhenUsed/>
    <w:qFormat/>
    <w:uiPriority w:val="10"/>
    <w:pPr>
      <w:widowControl/>
      <w:wordWrap/>
      <w:autoSpaceDE/>
      <w:autoSpaceDN/>
      <w:ind w:left="1200" w:hanging="400"/>
      <w:jc w:val="both"/>
    </w:pPr>
    <w:rPr>
      <w:rFonts w:ascii="等线" w:hAnsi="等线" w:eastAsia="Times New Roman" w:cstheme="minorBidi"/>
      <w:b/>
      <w:w w:val="100"/>
      <w:sz w:val="20"/>
      <w:szCs w:val="20"/>
      <w:shd w:val="clear"/>
    </w:rPr>
  </w:style>
  <w:style w:type="paragraph" w:styleId="7">
    <w:name w:val="heading 5"/>
    <w:next w:val="1"/>
    <w:semiHidden/>
    <w:unhideWhenUsed/>
    <w:qFormat/>
    <w:uiPriority w:val="11"/>
    <w:pPr>
      <w:widowControl/>
      <w:wordWrap/>
      <w:autoSpaceDE/>
      <w:autoSpaceDN/>
      <w:ind w:left="1400" w:hanging="400"/>
      <w:jc w:val="both"/>
    </w:pPr>
    <w:rPr>
      <w:rFonts w:ascii="等线" w:hAnsi="等线" w:eastAsia="Times New Roman" w:cstheme="minorBidi"/>
      <w:w w:val="100"/>
      <w:sz w:val="21"/>
      <w:szCs w:val="21"/>
      <w:shd w:val="clear"/>
    </w:rPr>
  </w:style>
  <w:style w:type="paragraph" w:styleId="8">
    <w:name w:val="heading 6"/>
    <w:next w:val="1"/>
    <w:semiHidden/>
    <w:unhideWhenUsed/>
    <w:qFormat/>
    <w:uiPriority w:val="12"/>
    <w:pPr>
      <w:widowControl/>
      <w:wordWrap/>
      <w:autoSpaceDE/>
      <w:autoSpaceDN/>
      <w:ind w:left="1600" w:hanging="400"/>
      <w:jc w:val="both"/>
    </w:pPr>
    <w:rPr>
      <w:rFonts w:ascii="等线" w:hAnsi="等线" w:eastAsia="Times New Roman" w:cstheme="minorBidi"/>
      <w:b/>
      <w:w w:val="100"/>
      <w:sz w:val="20"/>
      <w:szCs w:val="20"/>
      <w:shd w:val="clear"/>
    </w:rPr>
  </w:style>
  <w:style w:type="paragraph" w:styleId="9">
    <w:name w:val="heading 7"/>
    <w:next w:val="1"/>
    <w:qFormat/>
    <w:uiPriority w:val="13"/>
    <w:pPr>
      <w:widowControl/>
      <w:wordWrap/>
      <w:autoSpaceDE/>
      <w:autoSpaceDN/>
      <w:ind w:left="1800" w:hanging="400"/>
      <w:jc w:val="both"/>
    </w:pPr>
    <w:rPr>
      <w:rFonts w:ascii="等线" w:hAnsi="等线" w:eastAsia="Times New Roman" w:cstheme="minorBidi"/>
      <w:w w:val="100"/>
      <w:sz w:val="21"/>
      <w:szCs w:val="21"/>
      <w:shd w:val="clear"/>
    </w:rPr>
  </w:style>
  <w:style w:type="paragraph" w:styleId="10">
    <w:name w:val="heading 8"/>
    <w:next w:val="1"/>
    <w:qFormat/>
    <w:uiPriority w:val="14"/>
    <w:pPr>
      <w:widowControl/>
      <w:wordWrap/>
      <w:autoSpaceDE/>
      <w:autoSpaceDN/>
      <w:ind w:left="2000" w:hanging="400"/>
      <w:jc w:val="both"/>
    </w:pPr>
    <w:rPr>
      <w:rFonts w:ascii="等线" w:hAnsi="等线" w:eastAsia="Times New Roman" w:cstheme="minorBidi"/>
      <w:w w:val="100"/>
      <w:sz w:val="21"/>
      <w:szCs w:val="21"/>
      <w:shd w:val="clear"/>
    </w:rPr>
  </w:style>
  <w:style w:type="paragraph" w:styleId="11">
    <w:name w:val="heading 9"/>
    <w:next w:val="1"/>
    <w:qFormat/>
    <w:uiPriority w:val="15"/>
    <w:pPr>
      <w:widowControl/>
      <w:wordWrap/>
      <w:autoSpaceDE/>
      <w:autoSpaceDN/>
      <w:ind w:left="2200" w:hanging="400"/>
      <w:jc w:val="both"/>
    </w:pPr>
    <w:rPr>
      <w:rFonts w:ascii="等线" w:hAnsi="等线" w:eastAsia="Times New Roman" w:cstheme="minorBidi"/>
      <w:w w:val="100"/>
      <w:sz w:val="21"/>
      <w:szCs w:val="21"/>
      <w:shd w:val="clear"/>
    </w:rPr>
  </w:style>
  <w:style w:type="character" w:default="1" w:styleId="33">
    <w:name w:val="Default Paragraph Font"/>
    <w:semiHidden/>
    <w:unhideWhenUsed/>
    <w:qFormat/>
    <w:uiPriority w:val="2"/>
  </w:style>
  <w:style w:type="table" w:default="1" w:styleId="31">
    <w:name w:val="Normal Table"/>
    <w:qFormat/>
    <w:uiPriority w:val="37"/>
    <w:tblPr>
      <w:tblCellMar>
        <w:top w:w="0" w:type="dxa"/>
        <w:left w:w="108" w:type="dxa"/>
        <w:bottom w:w="0" w:type="dxa"/>
        <w:right w:w="108" w:type="dxa"/>
      </w:tblCellMar>
    </w:tblPr>
  </w:style>
  <w:style w:type="paragraph" w:styleId="2">
    <w:name w:val="Plain Text"/>
    <w:basedOn w:val="1"/>
    <w:unhideWhenUsed/>
    <w:qFormat/>
    <w:uiPriority w:val="0"/>
    <w:rPr>
      <w:rFonts w:ascii="宋体" w:hAnsi="Courier New"/>
      <w:kern w:val="0"/>
      <w:sz w:val="20"/>
      <w:szCs w:val="20"/>
    </w:rPr>
  </w:style>
  <w:style w:type="paragraph" w:styleId="12">
    <w:name w:val="toc 7"/>
    <w:next w:val="1"/>
    <w:unhideWhenUsed/>
    <w:qFormat/>
    <w:uiPriority w:val="34"/>
    <w:pPr>
      <w:widowControl/>
      <w:wordWrap/>
      <w:autoSpaceDE/>
      <w:autoSpaceDN/>
      <w:ind w:left="2550" w:firstLine="0"/>
      <w:jc w:val="both"/>
    </w:pPr>
    <w:rPr>
      <w:rFonts w:ascii="等线" w:hAnsi="等线" w:eastAsia="Times New Roman" w:cstheme="minorBidi"/>
      <w:w w:val="100"/>
      <w:sz w:val="21"/>
      <w:szCs w:val="21"/>
      <w:shd w:val="clear"/>
    </w:rPr>
  </w:style>
  <w:style w:type="paragraph" w:styleId="13">
    <w:name w:val="Body Text"/>
    <w:basedOn w:val="1"/>
    <w:next w:val="1"/>
    <w:qFormat/>
    <w:uiPriority w:val="1"/>
    <w:pPr>
      <w:spacing w:after="120" w:line="360" w:lineRule="auto"/>
      <w:ind w:left="480" w:leftChars="200"/>
    </w:pPr>
    <w:rPr>
      <w:sz w:val="24"/>
      <w:szCs w:val="24"/>
    </w:rPr>
  </w:style>
  <w:style w:type="paragraph" w:styleId="14">
    <w:name w:val="Body Text Indent"/>
    <w:basedOn w:val="1"/>
    <w:qFormat/>
    <w:uiPriority w:val="0"/>
    <w:pPr>
      <w:spacing w:after="120"/>
      <w:ind w:left="420" w:leftChars="200"/>
    </w:pPr>
  </w:style>
  <w:style w:type="paragraph" w:styleId="15">
    <w:name w:val="toc 5"/>
    <w:next w:val="1"/>
    <w:unhideWhenUsed/>
    <w:qFormat/>
    <w:uiPriority w:val="32"/>
    <w:pPr>
      <w:widowControl/>
      <w:wordWrap/>
      <w:autoSpaceDE/>
      <w:autoSpaceDN/>
      <w:ind w:left="1700" w:firstLine="0"/>
      <w:jc w:val="both"/>
    </w:pPr>
    <w:rPr>
      <w:rFonts w:ascii="等线" w:hAnsi="等线" w:eastAsia="Times New Roman" w:cstheme="minorBidi"/>
      <w:w w:val="100"/>
      <w:sz w:val="21"/>
      <w:szCs w:val="21"/>
      <w:shd w:val="clear"/>
    </w:rPr>
  </w:style>
  <w:style w:type="paragraph" w:styleId="16">
    <w:name w:val="toc 3"/>
    <w:next w:val="1"/>
    <w:unhideWhenUsed/>
    <w:qFormat/>
    <w:uiPriority w:val="30"/>
    <w:pPr>
      <w:widowControl/>
      <w:wordWrap/>
      <w:autoSpaceDE/>
      <w:autoSpaceDN/>
      <w:ind w:left="850" w:firstLine="0"/>
      <w:jc w:val="both"/>
    </w:pPr>
    <w:rPr>
      <w:rFonts w:ascii="等线" w:hAnsi="等线" w:eastAsia="Times New Roman" w:cstheme="minorBidi"/>
      <w:w w:val="100"/>
      <w:sz w:val="21"/>
      <w:szCs w:val="21"/>
      <w:shd w:val="clear"/>
    </w:rPr>
  </w:style>
  <w:style w:type="paragraph" w:styleId="17">
    <w:name w:val="toc 8"/>
    <w:next w:val="1"/>
    <w:unhideWhenUsed/>
    <w:qFormat/>
    <w:uiPriority w:val="35"/>
    <w:pPr>
      <w:widowControl/>
      <w:wordWrap/>
      <w:autoSpaceDE/>
      <w:autoSpaceDN/>
      <w:ind w:left="2975" w:firstLine="0"/>
      <w:jc w:val="both"/>
    </w:pPr>
    <w:rPr>
      <w:rFonts w:ascii="等线" w:hAnsi="等线" w:eastAsia="Times New Roman" w:cstheme="minorBidi"/>
      <w:w w:val="100"/>
      <w:sz w:val="21"/>
      <w:szCs w:val="21"/>
      <w:shd w:val="clear"/>
    </w:rPr>
  </w:style>
  <w:style w:type="paragraph" w:styleId="18">
    <w:name w:val="Balloon Text"/>
    <w:basedOn w:val="1"/>
    <w:link w:val="49"/>
    <w:semiHidden/>
    <w:unhideWhenUsed/>
    <w:qFormat/>
    <w:uiPriority w:val="157"/>
    <w:rPr>
      <w:rFonts w:ascii="宋体" w:hAnsi="宋体" w:eastAsia="宋体"/>
      <w:w w:val="100"/>
      <w:sz w:val="18"/>
      <w:szCs w:val="18"/>
      <w:shd w:val="clear"/>
    </w:rPr>
  </w:style>
  <w:style w:type="paragraph" w:styleId="19">
    <w:name w:val="footer"/>
    <w:basedOn w:val="1"/>
    <w:link w:val="47"/>
    <w:unhideWhenUsed/>
    <w:qFormat/>
    <w:uiPriority w:val="154"/>
    <w:pPr>
      <w:widowControl/>
      <w:tabs>
        <w:tab w:val="center" w:pos="4153"/>
        <w:tab w:val="right" w:pos="8306"/>
      </w:tabs>
      <w:wordWrap/>
      <w:autoSpaceDE/>
      <w:autoSpaceDN/>
    </w:pPr>
    <w:rPr>
      <w:w w:val="100"/>
      <w:sz w:val="18"/>
      <w:szCs w:val="18"/>
      <w:shd w:val="clear"/>
    </w:rPr>
  </w:style>
  <w:style w:type="paragraph" w:styleId="20">
    <w:name w:val="header"/>
    <w:basedOn w:val="1"/>
    <w:link w:val="46"/>
    <w:unhideWhenUsed/>
    <w:qFormat/>
    <w:uiPriority w:val="152"/>
    <w:pPr>
      <w:widowControl/>
      <w:tabs>
        <w:tab w:val="center" w:pos="4153"/>
        <w:tab w:val="right" w:pos="8306"/>
      </w:tabs>
      <w:wordWrap/>
      <w:autoSpaceDE/>
      <w:autoSpaceDN/>
      <w:jc w:val="center"/>
    </w:pPr>
    <w:rPr>
      <w:w w:val="100"/>
      <w:sz w:val="18"/>
      <w:szCs w:val="18"/>
      <w:shd w:val="clear"/>
    </w:rPr>
  </w:style>
  <w:style w:type="paragraph" w:styleId="21">
    <w:name w:val="toc 1"/>
    <w:next w:val="1"/>
    <w:unhideWhenUsed/>
    <w:qFormat/>
    <w:uiPriority w:val="28"/>
    <w:pPr>
      <w:widowControl/>
      <w:wordWrap/>
      <w:autoSpaceDE/>
      <w:autoSpaceDN/>
      <w:jc w:val="both"/>
    </w:pPr>
    <w:rPr>
      <w:rFonts w:ascii="等线" w:hAnsi="等线" w:eastAsia="Times New Roman" w:cstheme="minorBidi"/>
      <w:w w:val="100"/>
      <w:sz w:val="21"/>
      <w:szCs w:val="21"/>
      <w:shd w:val="clear"/>
    </w:rPr>
  </w:style>
  <w:style w:type="paragraph" w:styleId="22">
    <w:name w:val="toc 4"/>
    <w:next w:val="1"/>
    <w:unhideWhenUsed/>
    <w:qFormat/>
    <w:uiPriority w:val="31"/>
    <w:pPr>
      <w:widowControl/>
      <w:wordWrap/>
      <w:autoSpaceDE/>
      <w:autoSpaceDN/>
      <w:ind w:left="1275" w:firstLine="0"/>
      <w:jc w:val="both"/>
    </w:pPr>
    <w:rPr>
      <w:rFonts w:ascii="等线" w:hAnsi="等线" w:eastAsia="Times New Roman" w:cstheme="minorBidi"/>
      <w:w w:val="100"/>
      <w:sz w:val="21"/>
      <w:szCs w:val="21"/>
      <w:shd w:val="clear"/>
    </w:rPr>
  </w:style>
  <w:style w:type="paragraph" w:styleId="23">
    <w:name w:val="Subtitle"/>
    <w:qFormat/>
    <w:uiPriority w:val="16"/>
    <w:pPr>
      <w:widowControl/>
      <w:wordWrap/>
      <w:autoSpaceDE/>
      <w:autoSpaceDN/>
      <w:jc w:val="center"/>
    </w:pPr>
    <w:rPr>
      <w:rFonts w:ascii="等线" w:hAnsi="等线" w:eastAsia="Times New Roman" w:cstheme="minorBidi"/>
      <w:w w:val="100"/>
      <w:sz w:val="24"/>
      <w:szCs w:val="24"/>
      <w:shd w:val="clear"/>
    </w:rPr>
  </w:style>
  <w:style w:type="paragraph" w:styleId="24">
    <w:name w:val="toc 6"/>
    <w:next w:val="1"/>
    <w:unhideWhenUsed/>
    <w:qFormat/>
    <w:uiPriority w:val="33"/>
    <w:pPr>
      <w:widowControl/>
      <w:wordWrap/>
      <w:autoSpaceDE/>
      <w:autoSpaceDN/>
      <w:ind w:left="2125" w:firstLine="0"/>
      <w:jc w:val="both"/>
    </w:pPr>
    <w:rPr>
      <w:rFonts w:ascii="等线" w:hAnsi="等线" w:eastAsia="Times New Roman" w:cstheme="minorBidi"/>
      <w:w w:val="100"/>
      <w:sz w:val="21"/>
      <w:szCs w:val="21"/>
      <w:shd w:val="clear"/>
    </w:rPr>
  </w:style>
  <w:style w:type="paragraph" w:styleId="25">
    <w:name w:val="toc 2"/>
    <w:next w:val="1"/>
    <w:unhideWhenUsed/>
    <w:qFormat/>
    <w:uiPriority w:val="29"/>
    <w:pPr>
      <w:widowControl/>
      <w:wordWrap/>
      <w:autoSpaceDE/>
      <w:autoSpaceDN/>
      <w:ind w:left="425" w:firstLine="0"/>
      <w:jc w:val="both"/>
    </w:pPr>
    <w:rPr>
      <w:rFonts w:ascii="等线" w:hAnsi="等线" w:eastAsia="Times New Roman" w:cstheme="minorBidi"/>
      <w:w w:val="100"/>
      <w:sz w:val="21"/>
      <w:szCs w:val="21"/>
      <w:shd w:val="clear"/>
    </w:rPr>
  </w:style>
  <w:style w:type="paragraph" w:styleId="26">
    <w:name w:val="toc 9"/>
    <w:next w:val="1"/>
    <w:unhideWhenUsed/>
    <w:qFormat/>
    <w:uiPriority w:val="36"/>
    <w:pPr>
      <w:widowControl/>
      <w:wordWrap/>
      <w:autoSpaceDE/>
      <w:autoSpaceDN/>
      <w:ind w:left="3400" w:firstLine="0"/>
      <w:jc w:val="both"/>
    </w:pPr>
    <w:rPr>
      <w:rFonts w:ascii="等线" w:hAnsi="等线" w:eastAsia="Times New Roman" w:cstheme="minorBidi"/>
      <w:w w:val="100"/>
      <w:sz w:val="21"/>
      <w:szCs w:val="21"/>
      <w:shd w:val="clear"/>
    </w:rPr>
  </w:style>
  <w:style w:type="paragraph" w:styleId="2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8">
    <w:name w:val="Title"/>
    <w:qFormat/>
    <w:uiPriority w:val="6"/>
    <w:pPr>
      <w:widowControl/>
      <w:wordWrap/>
      <w:autoSpaceDE/>
      <w:autoSpaceDN/>
      <w:jc w:val="center"/>
    </w:pPr>
    <w:rPr>
      <w:rFonts w:ascii="等线" w:hAnsi="等线" w:eastAsia="Times New Roman" w:cstheme="minorBidi"/>
      <w:b/>
      <w:w w:val="100"/>
      <w:sz w:val="32"/>
      <w:szCs w:val="32"/>
      <w:shd w:val="clear"/>
    </w:rPr>
  </w:style>
  <w:style w:type="paragraph" w:styleId="29">
    <w:name w:val="Body Text First Indent"/>
    <w:basedOn w:val="1"/>
    <w:qFormat/>
    <w:uiPriority w:val="0"/>
    <w:pPr>
      <w:ind w:firstLine="425"/>
    </w:pPr>
  </w:style>
  <w:style w:type="paragraph" w:styleId="30">
    <w:name w:val="Body Text First Indent 2"/>
    <w:basedOn w:val="14"/>
    <w:next w:val="1"/>
    <w:qFormat/>
    <w:uiPriority w:val="0"/>
    <w:pPr>
      <w:ind w:firstLine="420" w:firstLineChars="200"/>
    </w:pPr>
  </w:style>
  <w:style w:type="table" w:styleId="32">
    <w:name w:val="Table Grid"/>
    <w:basedOn w:val="31"/>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20"/>
    <w:rPr>
      <w:b/>
      <w:w w:val="100"/>
      <w:sz w:val="21"/>
      <w:szCs w:val="21"/>
      <w:shd w:val="clear" w:color="000000"/>
    </w:rPr>
  </w:style>
  <w:style w:type="character" w:styleId="35">
    <w:name w:val="Emphasis"/>
    <w:qFormat/>
    <w:uiPriority w:val="18"/>
    <w:rPr>
      <w:i/>
      <w:w w:val="100"/>
      <w:sz w:val="21"/>
      <w:szCs w:val="21"/>
      <w:shd w:val="clear" w:color="000000"/>
    </w:rPr>
  </w:style>
  <w:style w:type="paragraph" w:styleId="36">
    <w:name w:val="No Spacing"/>
    <w:qFormat/>
    <w:uiPriority w:val="5"/>
    <w:pPr>
      <w:widowControl/>
      <w:wordWrap/>
      <w:autoSpaceDE/>
      <w:autoSpaceDN/>
      <w:jc w:val="both"/>
    </w:pPr>
    <w:rPr>
      <w:rFonts w:ascii="等线" w:hAnsi="等线" w:eastAsia="Times New Roman" w:cstheme="minorBidi"/>
      <w:w w:val="100"/>
      <w:sz w:val="21"/>
      <w:szCs w:val="21"/>
      <w:shd w:val="clear"/>
    </w:rPr>
  </w:style>
  <w:style w:type="character" w:customStyle="1" w:styleId="37">
    <w:name w:val="Subtle Emphasis"/>
    <w:qFormat/>
    <w:uiPriority w:val="17"/>
    <w:rPr>
      <w:i/>
      <w:color w:val="404040"/>
      <w:w w:val="100"/>
      <w:sz w:val="21"/>
      <w:szCs w:val="21"/>
      <w:shd w:val="clear" w:color="000000"/>
    </w:rPr>
  </w:style>
  <w:style w:type="character" w:customStyle="1" w:styleId="38">
    <w:name w:val="Intense Emphasis"/>
    <w:qFormat/>
    <w:uiPriority w:val="19"/>
    <w:rPr>
      <w:i/>
      <w:color w:val="5B9BD5"/>
      <w:w w:val="100"/>
      <w:sz w:val="21"/>
      <w:szCs w:val="21"/>
      <w:shd w:val="clear" w:color="000000"/>
    </w:rPr>
  </w:style>
  <w:style w:type="paragraph" w:styleId="39">
    <w:name w:val="Quote"/>
    <w:qFormat/>
    <w:uiPriority w:val="21"/>
    <w:pPr>
      <w:widowControl/>
      <w:wordWrap/>
      <w:autoSpaceDE/>
      <w:autoSpaceDN/>
      <w:ind w:left="864" w:right="864" w:firstLine="0"/>
      <w:jc w:val="center"/>
    </w:pPr>
    <w:rPr>
      <w:rFonts w:ascii="等线" w:hAnsi="等线" w:eastAsia="Times New Roman" w:cstheme="minorBidi"/>
      <w:i/>
      <w:color w:val="404040"/>
      <w:w w:val="100"/>
      <w:sz w:val="20"/>
      <w:szCs w:val="20"/>
      <w:shd w:val="clear"/>
    </w:rPr>
  </w:style>
  <w:style w:type="paragraph" w:styleId="40">
    <w:name w:val="Intense Quote"/>
    <w:qFormat/>
    <w:uiPriority w:val="22"/>
    <w:pPr>
      <w:widowControl/>
      <w:wordWrap/>
      <w:autoSpaceDE/>
      <w:autoSpaceDN/>
      <w:ind w:left="950" w:right="950" w:firstLine="0"/>
      <w:jc w:val="center"/>
    </w:pPr>
    <w:rPr>
      <w:rFonts w:ascii="等线" w:hAnsi="等线" w:eastAsia="Times New Roman" w:cstheme="minorBidi"/>
      <w:i/>
      <w:color w:val="5B9BD5"/>
      <w:w w:val="100"/>
      <w:sz w:val="20"/>
      <w:szCs w:val="20"/>
      <w:shd w:val="clear"/>
    </w:rPr>
  </w:style>
  <w:style w:type="character" w:customStyle="1" w:styleId="41">
    <w:name w:val="Subtle Reference"/>
    <w:qFormat/>
    <w:uiPriority w:val="23"/>
    <w:rPr>
      <w:smallCaps/>
      <w:color w:val="5A5A5A"/>
      <w:w w:val="100"/>
      <w:sz w:val="21"/>
      <w:szCs w:val="21"/>
      <w:shd w:val="clear" w:color="000000"/>
    </w:rPr>
  </w:style>
  <w:style w:type="character" w:customStyle="1" w:styleId="42">
    <w:name w:val="Intense Reference"/>
    <w:qFormat/>
    <w:uiPriority w:val="24"/>
    <w:rPr>
      <w:b/>
      <w:smallCaps/>
      <w:color w:val="5B9BD5"/>
      <w:w w:val="100"/>
      <w:sz w:val="21"/>
      <w:szCs w:val="21"/>
      <w:shd w:val="clear" w:color="000000"/>
    </w:rPr>
  </w:style>
  <w:style w:type="character" w:customStyle="1" w:styleId="43">
    <w:name w:val="Book Title"/>
    <w:qFormat/>
    <w:uiPriority w:val="25"/>
    <w:rPr>
      <w:b/>
      <w:i/>
      <w:w w:val="100"/>
      <w:sz w:val="21"/>
      <w:szCs w:val="21"/>
      <w:shd w:val="clear" w:color="000000"/>
    </w:rPr>
  </w:style>
  <w:style w:type="paragraph" w:styleId="44">
    <w:name w:val="List Paragraph"/>
    <w:basedOn w:val="1"/>
    <w:qFormat/>
    <w:uiPriority w:val="26"/>
    <w:pPr>
      <w:widowControl/>
      <w:wordWrap/>
      <w:autoSpaceDE/>
      <w:autoSpaceDN/>
      <w:ind w:firstLine="420"/>
    </w:pPr>
  </w:style>
  <w:style w:type="paragraph" w:customStyle="1" w:styleId="45">
    <w:name w:val="TOC Heading"/>
    <w:unhideWhenUsed/>
    <w:qFormat/>
    <w:uiPriority w:val="27"/>
    <w:pPr>
      <w:widowControl/>
      <w:wordWrap/>
      <w:autoSpaceDE/>
      <w:autoSpaceDN/>
    </w:pPr>
    <w:rPr>
      <w:rFonts w:ascii="等线" w:hAnsi="等线" w:eastAsia="Times New Roman" w:cstheme="minorBidi"/>
      <w:color w:val="2E74B5"/>
      <w:w w:val="100"/>
      <w:sz w:val="32"/>
      <w:szCs w:val="32"/>
      <w:shd w:val="clear"/>
    </w:rPr>
  </w:style>
  <w:style w:type="character" w:customStyle="1" w:styleId="46">
    <w:name w:val="页眉 字符"/>
    <w:basedOn w:val="33"/>
    <w:link w:val="20"/>
    <w:qFormat/>
    <w:uiPriority w:val="153"/>
    <w:rPr>
      <w:w w:val="100"/>
      <w:sz w:val="18"/>
      <w:szCs w:val="18"/>
      <w:shd w:val="clear" w:color="000000"/>
    </w:rPr>
  </w:style>
  <w:style w:type="character" w:customStyle="1" w:styleId="47">
    <w:name w:val="页脚 字符"/>
    <w:basedOn w:val="33"/>
    <w:link w:val="19"/>
    <w:qFormat/>
    <w:uiPriority w:val="155"/>
    <w:rPr>
      <w:w w:val="100"/>
      <w:sz w:val="18"/>
      <w:szCs w:val="18"/>
      <w:shd w:val="clear" w:color="000000"/>
    </w:rPr>
  </w:style>
  <w:style w:type="paragraph" w:customStyle="1" w:styleId="48">
    <w:name w:val="段"/>
    <w:qFormat/>
    <w:uiPriority w:val="156"/>
    <w:pPr>
      <w:widowControl/>
      <w:tabs>
        <w:tab w:val="center" w:pos="4201"/>
        <w:tab w:val="right" w:leader="dot" w:pos="9298"/>
      </w:tabs>
      <w:wordWrap/>
      <w:autoSpaceDE/>
      <w:autoSpaceDN/>
      <w:ind w:firstLine="420"/>
      <w:jc w:val="both"/>
    </w:pPr>
    <w:rPr>
      <w:rFonts w:ascii="Times New Roman" w:hAnsi="Times New Roman" w:eastAsia="Times New Roman" w:cstheme="minorBidi"/>
      <w:w w:val="100"/>
      <w:sz w:val="20"/>
      <w:szCs w:val="20"/>
      <w:shd w:val="clear"/>
    </w:rPr>
  </w:style>
  <w:style w:type="character" w:customStyle="1" w:styleId="49">
    <w:name w:val="批注框文本 字符"/>
    <w:basedOn w:val="33"/>
    <w:link w:val="18"/>
    <w:semiHidden/>
    <w:qFormat/>
    <w:uiPriority w:val="158"/>
    <w:rPr>
      <w:rFonts w:ascii="宋体" w:hAnsi="宋体" w:eastAsia="宋体"/>
      <w:w w:val="100"/>
      <w:sz w:val="18"/>
      <w:szCs w:val="18"/>
      <w:shd w:val="clear"/>
    </w:rPr>
  </w:style>
  <w:style w:type="character" w:customStyle="1" w:styleId="50">
    <w:name w:val="NormalCharacter"/>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Pages>
  <Words>5442</Words>
  <Characters>5790</Characters>
  <Lines>26</Lines>
  <Paragraphs>7</Paragraphs>
  <TotalTime>16</TotalTime>
  <ScaleCrop>false</ScaleCrop>
  <LinksUpToDate>false</LinksUpToDate>
  <CharactersWithSpaces>5887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2018-12-28T03:30:00Z</dcterms:created>
  <dc:creator>DELL</dc:creator>
  <cp:lastModifiedBy>amy</cp:lastModifiedBy>
  <cp:lastPrinted>2018-12-28T03:32:00Z</cp:lastPrinted>
  <dcterms:modified xsi:type="dcterms:W3CDTF">2023-04-16T03:13:20Z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AFB0526BA11549DFA0A83521470F0A1A_13</vt:lpwstr>
  </property>
</Properties>
</file>