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考察东鹏瓷砖</w:t>
      </w:r>
    </w:p>
    <w:p>
      <w:pPr>
        <w:ind w:firstLine="420" w:firstLineChars="200"/>
        <w:jc w:val="both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山东现代学院为提供更舒适的学习与住宿环境，紧锣密鼓组织施工，建设图书馆与学生公寓，争分夺秒抢时间，全力保障</w:t>
      </w:r>
      <w:r>
        <w:rPr>
          <w:rFonts w:hint="eastAsia"/>
          <w:lang w:val="en-US" w:eastAsia="zh-CN"/>
        </w:rPr>
        <w:t>2022年秋季学生学习与入住需求。为此，资产处购进一批瓷砖来保障楼层建设工作。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345940" cy="5794375"/>
            <wp:effectExtent l="0" t="0" r="16510" b="15875"/>
            <wp:docPr id="2" name="图片 2" descr="2a923af7cffb1b38d9e84b8e5ba70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a923af7cffb1b38d9e84b8e5ba708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45940" cy="579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098290" cy="5464175"/>
            <wp:effectExtent l="0" t="0" r="16510" b="3175"/>
            <wp:docPr id="3" name="图片 3" descr="c83dd4f12fd9799f981ab2c6b4a7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83dd4f12fd9799f981ab2c6b4a743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98290" cy="546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3954780"/>
            <wp:effectExtent l="0" t="0" r="3810" b="7620"/>
            <wp:docPr id="4" name="图片 4" descr="d4bb0a4c23ca80751492623a2185a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4bb0a4c23ca80751492623a2185a5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项目事关民生，学校高度重视工程进展情况。按照学校部署以及要求，资产处与施工单位东鹏瓷砖进行多轮磋商，共同制定项目施工计划，明确施工任务和整体工期目标。  于3月16日，资产处考察东鹏瓷砖，在双方商讨与协同下，进购瓷砖项目圆满完成。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1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2022-03-23T06:32:24Z</dcterms:created>
  <dc:creator>Administrator</dc:creator>
  <cp:lastModifiedBy>瑞瑞妈</cp:lastModifiedBy>
  <dcterms:modified xsi:type="dcterms:W3CDTF">2022-03-23T06:47:00Z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373E14AC1C78420BADD1A0FA085380B9</vt:lpwstr>
  </property>
</Properties>
</file>